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5A4A7A" w:rsidRPr="003B6BFE" w:rsidRDefault="00DB7467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05pt;height:96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:rsidR="003B6BFE" w:rsidRPr="003B6BFE" w:rsidRDefault="003B6BFE" w:rsidP="004F70B5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B6BFE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План за контролната дейност за </w:t>
      </w:r>
      <w:r w:rsidR="00D80078">
        <w:rPr>
          <w:rFonts w:ascii="Times New Roman" w:hAnsi="Times New Roman"/>
          <w:sz w:val="24"/>
          <w:szCs w:val="24"/>
          <w:lang w:val="bg-BG"/>
        </w:rPr>
        <w:t xml:space="preserve">2026 </w:t>
      </w:r>
      <w:r w:rsidRPr="003B6BFE">
        <w:rPr>
          <w:rFonts w:ascii="Times New Roman" w:hAnsi="Times New Roman"/>
          <w:sz w:val="24"/>
          <w:szCs w:val="24"/>
          <w:lang w:val="bg-BG"/>
        </w:rPr>
        <w:t>г. на РИОСВ – Пловдив, утвърден от Министъра на околната среда и водите и Заповед № РД-</w:t>
      </w:r>
      <w:r w:rsidR="00DB59D4">
        <w:rPr>
          <w:rFonts w:ascii="Times New Roman" w:hAnsi="Times New Roman"/>
          <w:sz w:val="24"/>
          <w:szCs w:val="24"/>
          <w:lang w:val="bg-BG"/>
        </w:rPr>
        <w:t>46/18.02.2026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г. на Директора на РИОСВ - Пловдив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DB59D4">
        <w:rPr>
          <w:rFonts w:ascii="Times New Roman" w:hAnsi="Times New Roman"/>
          <w:b/>
          <w:sz w:val="24"/>
          <w:szCs w:val="24"/>
          <w:lang w:val="bg-BG"/>
        </w:rPr>
        <w:t xml:space="preserve"> 05.03.2026 г.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DB59D4" w:rsidRPr="00DB59D4">
        <w:rPr>
          <w:rFonts w:ascii="Times New Roman" w:hAnsi="Times New Roman"/>
          <w:sz w:val="24"/>
          <w:szCs w:val="24"/>
          <w:lang w:val="bg-BG"/>
        </w:rPr>
        <w:t>„Предприятие за рециклиране на полимери“, с. Царацово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3B6BFE">
        <w:rPr>
          <w:rFonts w:ascii="Times New Roman" w:hAnsi="Times New Roman"/>
          <w:sz w:val="24"/>
          <w:szCs w:val="24"/>
        </w:rPr>
        <w:t xml:space="preserve"> 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3B6BFE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="00DB59D4" w:rsidRPr="00DB59D4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DB59D4" w:rsidRPr="00DB59D4">
        <w:rPr>
          <w:rFonts w:ascii="Times New Roman" w:hAnsi="Times New Roman"/>
          <w:sz w:val="24"/>
          <w:szCs w:val="24"/>
          <w:lang w:val="bg-BG"/>
        </w:rPr>
        <w:t>. Пловдив, общ. Марица, с. Царацово, ул. ”Извън регулация” № 7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собственост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DB59D4" w:rsidRPr="00DB59D4">
        <w:rPr>
          <w:rFonts w:ascii="Times New Roman" w:hAnsi="Times New Roman"/>
          <w:sz w:val="24"/>
          <w:szCs w:val="24"/>
          <w:lang w:val="bg-BG"/>
        </w:rPr>
        <w:t>„Каскада“ ООД, ЕИК 115813726</w:t>
      </w:r>
      <w:r w:rsidRPr="003B6BFE">
        <w:rPr>
          <w:rFonts w:ascii="Times New Roman" w:hAnsi="Times New Roman"/>
          <w:sz w:val="24"/>
          <w:szCs w:val="24"/>
        </w:rPr>
        <w:t xml:space="preserve">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:rsidR="004F70B5" w:rsidRPr="003B6BFE" w:rsidRDefault="004F70B5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B6BFE">
        <w:rPr>
          <w:rFonts w:ascii="Times New Roman" w:hAnsi="Times New Roman"/>
          <w:sz w:val="24"/>
          <w:szCs w:val="24"/>
          <w:lang w:val="bg-BG"/>
        </w:rPr>
        <w:tab/>
        <w:t xml:space="preserve">Основна цел на проверката е установяване нивото и степента на съответствие на дейността в обекта с изискванията на екологичното законодателство по компоненти и фактори: </w:t>
      </w:r>
      <w:r w:rsidR="00DB59D4" w:rsidRPr="00DB59D4">
        <w:rPr>
          <w:rFonts w:ascii="Times New Roman" w:hAnsi="Times New Roman"/>
          <w:sz w:val="24"/>
          <w:szCs w:val="24"/>
          <w:lang w:val="bg-BG"/>
        </w:rPr>
        <w:t>„Управление на отпадъците„ и „Отпадъчни води“ (Закон за управление на отпадъците и Закон за водите).</w:t>
      </w:r>
    </w:p>
    <w:p w:rsidR="003B6BFE" w:rsidRPr="003B6BFE" w:rsidRDefault="003B6BFE" w:rsidP="003B6BFE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Проверени инсталации:</w:t>
      </w:r>
    </w:p>
    <w:p w:rsidR="004F70B5" w:rsidRPr="003B6BFE" w:rsidRDefault="004F70B5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4F70B5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3B6BFE">
        <w:rPr>
          <w:rFonts w:ascii="Times New Roman" w:hAnsi="Times New Roman"/>
          <w:bCs/>
          <w:sz w:val="24"/>
          <w:szCs w:val="24"/>
          <w:lang w:val="bg-BG"/>
        </w:rPr>
        <w:tab/>
        <w:t xml:space="preserve">На територията на обекта са 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проверени:</w:t>
      </w:r>
    </w:p>
    <w:p w:rsidR="00E72488" w:rsidRDefault="00E72488" w:rsidP="00E72488">
      <w:pPr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Площадка за третиране на отпадъци от пластмаси;</w:t>
      </w:r>
    </w:p>
    <w:p w:rsidR="00E72488" w:rsidRPr="00E72488" w:rsidRDefault="00DB59D4" w:rsidP="00E72488">
      <w:pPr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E72488">
        <w:rPr>
          <w:rFonts w:ascii="Times New Roman" w:hAnsi="Times New Roman"/>
          <w:bCs/>
          <w:sz w:val="24"/>
          <w:szCs w:val="24"/>
          <w:lang w:val="bg-BG"/>
        </w:rPr>
        <w:t>Цех за рециклиране на полистирол;</w:t>
      </w:r>
    </w:p>
    <w:p w:rsidR="00E72488" w:rsidRPr="00E72488" w:rsidRDefault="00DB59D4" w:rsidP="00E72488">
      <w:pPr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DB59D4">
        <w:rPr>
          <w:rFonts w:ascii="Times New Roman" w:hAnsi="Times New Roman"/>
          <w:bCs/>
          <w:sz w:val="24"/>
          <w:szCs w:val="24"/>
          <w:lang w:val="bg-BG"/>
        </w:rPr>
        <w:t>Цех за рециклиране на полиетилен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E72488" w:rsidRDefault="00E72488" w:rsidP="00E72488">
      <w:pPr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Цех за рециклиране на </w:t>
      </w:r>
      <w:r w:rsidR="00DB59D4" w:rsidRPr="00DB59D4">
        <w:rPr>
          <w:rFonts w:ascii="Times New Roman" w:hAnsi="Times New Roman"/>
          <w:bCs/>
          <w:sz w:val="24"/>
          <w:szCs w:val="24"/>
          <w:lang w:val="bg-BG"/>
        </w:rPr>
        <w:t>полипропилен</w:t>
      </w:r>
      <w:r w:rsidR="00DB59D4">
        <w:rPr>
          <w:rFonts w:ascii="Times New Roman" w:hAnsi="Times New Roman"/>
          <w:bCs/>
          <w:sz w:val="24"/>
          <w:szCs w:val="24"/>
        </w:rPr>
        <w:t>;</w:t>
      </w:r>
    </w:p>
    <w:p w:rsidR="00E72488" w:rsidRPr="00E72488" w:rsidRDefault="00E72488" w:rsidP="00E72488">
      <w:pPr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Цех за</w:t>
      </w:r>
      <w:r w:rsidRPr="009C0427">
        <w:rPr>
          <w:rFonts w:ascii="Times New Roman" w:hAnsi="Times New Roman"/>
          <w:sz w:val="24"/>
          <w:szCs w:val="24"/>
          <w:lang w:val="bg-BG"/>
        </w:rPr>
        <w:t xml:space="preserve"> производство на маркучи за капково напояване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E10F52" w:rsidRPr="00E10F52" w:rsidRDefault="00E10F52" w:rsidP="00E10F52">
      <w:pPr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С</w:t>
      </w:r>
      <w:r w:rsidRPr="00E10F52">
        <w:rPr>
          <w:rFonts w:ascii="Times New Roman" w:hAnsi="Times New Roman"/>
          <w:bCs/>
          <w:sz w:val="24"/>
          <w:szCs w:val="24"/>
          <w:lang w:val="bg-BG"/>
        </w:rPr>
        <w:t>клад за съхранение на готова продукция;</w:t>
      </w:r>
    </w:p>
    <w:p w:rsidR="00E10F52" w:rsidRPr="00E10F52" w:rsidRDefault="00E10F52" w:rsidP="00E10F52">
      <w:pPr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У</w:t>
      </w:r>
      <w:r w:rsidRPr="00E10F52">
        <w:rPr>
          <w:rFonts w:ascii="Times New Roman" w:hAnsi="Times New Roman"/>
          <w:bCs/>
          <w:sz w:val="24"/>
          <w:szCs w:val="24"/>
          <w:lang w:val="bg-BG"/>
        </w:rPr>
        <w:t>таители за производствени отпадъчни води;</w:t>
      </w:r>
    </w:p>
    <w:p w:rsidR="00DB59D4" w:rsidRDefault="00E10F52" w:rsidP="00E10F52">
      <w:pPr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</w:t>
      </w:r>
      <w:r w:rsidRPr="00E10F52">
        <w:rPr>
          <w:rFonts w:ascii="Times New Roman" w:hAnsi="Times New Roman"/>
          <w:bCs/>
          <w:sz w:val="24"/>
          <w:szCs w:val="24"/>
          <w:lang w:val="bg-BG"/>
        </w:rPr>
        <w:t>окументация, която оператора следва да води, съгласно нормативните изисквания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10F52" w:rsidRDefault="00E10F52" w:rsidP="00E10F52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F70B5" w:rsidRDefault="004F70B5" w:rsidP="00E10F52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F70B5" w:rsidRPr="00E10F52" w:rsidRDefault="004F70B5" w:rsidP="00E10F52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0F75F2" w:rsidRDefault="003B6BFE" w:rsidP="003B6BFE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3B6BFE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</w:p>
    <w:p w:rsidR="004F70B5" w:rsidRDefault="004F70B5" w:rsidP="003B6BFE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</w:p>
    <w:p w:rsidR="00761C92" w:rsidRDefault="00761C92" w:rsidP="00761C92">
      <w:pPr>
        <w:ind w:firstLine="426"/>
        <w:contextualSpacing/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761C92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В обект „Предприятие за рециклиране на полимери“ с местонахождение: област Пловдив, община Марица, с. Царацово, ул. „Извън регулация“ №7, се извършва комплексна проверка:</w:t>
      </w:r>
    </w:p>
    <w:p w:rsidR="003B6BFE" w:rsidRPr="003B6BFE" w:rsidRDefault="003B6BFE" w:rsidP="003B6BFE">
      <w:pPr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ab/>
      </w:r>
    </w:p>
    <w:p w:rsidR="00B136E1" w:rsidRDefault="00E10F52" w:rsidP="00B136E1">
      <w:pPr>
        <w:numPr>
          <w:ilvl w:val="0"/>
          <w:numId w:val="2"/>
        </w:numPr>
        <w:textAlignment w:val="top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  <w:r w:rsidRPr="00E10F52"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  <w:t>По фактор „Отпадъци“:</w:t>
      </w:r>
    </w:p>
    <w:p w:rsidR="003132A0" w:rsidRPr="00B136E1" w:rsidRDefault="003132A0" w:rsidP="00B136E1">
      <w:pPr>
        <w:ind w:firstLine="426"/>
        <w:textAlignment w:val="top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  <w:r w:rsidRP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За извършваната дейност дружеството притежава издадено от Директора на РИОСВ – Пловдив Регистрационен документ №09-РД-255-04/07.10.2020 за дейности с код R3, R12 и R13 за отпадъци от пластмаса с код 02 01 04, 07 02 13, 12 01 05, 15 01 02, 16 01 19, 17 02 03, </w:t>
      </w:r>
      <w:r w:rsidR="00622230" w:rsidRP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>19 12 04, 19 12 12, 20 01 39 и р</w:t>
      </w:r>
      <w:r w:rsidRP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>егистрационен документ за събиране и транспортиране на отпадъци издаден от Директора на РИОСВ – Пловдив с № 09-РД-253-10/18.11.2024 г.</w:t>
      </w:r>
    </w:p>
    <w:p w:rsidR="00622230" w:rsidRDefault="00622230" w:rsidP="00B136E1">
      <w:pPr>
        <w:ind w:firstLine="426"/>
        <w:jc w:val="both"/>
        <w:textAlignment w:val="top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622230">
        <w:rPr>
          <w:rFonts w:ascii="Times New Roman" w:hAnsi="Times New Roman"/>
          <w:bCs/>
          <w:color w:val="121314"/>
          <w:sz w:val="24"/>
          <w:szCs w:val="24"/>
          <w:lang w:val="bg-BG"/>
        </w:rPr>
        <w:t>Отчетността се води в Национална информационна система за отпадъци (НИСО), съгласно изискванията по Наредба №1 от 2014 г. за реда и образците, по които се предоставя информация за дейностите по отпадъците, както и реда за водене на публични регистри.</w:t>
      </w:r>
      <w:r w:rsidR="0044170D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</w:t>
      </w:r>
      <w:r w:rsidR="0044170D" w:rsidRPr="0044170D">
        <w:rPr>
          <w:rFonts w:ascii="Times New Roman" w:hAnsi="Times New Roman"/>
          <w:bCs/>
          <w:color w:val="121314"/>
          <w:sz w:val="24"/>
          <w:szCs w:val="24"/>
          <w:lang w:val="bg-BG"/>
        </w:rPr>
        <w:t>За образуваните от дейността отпадъци дружеството е извършило класификация и притежава утвърдени от Директора на РИОСВ – Пловдив работни листове съгласно Наредба №2 от 2014 г. за класификация на отпадъците. Същите се съхраняват разделно на обособени места до предаване на лица притежаващи документ по чл. 35 от ЗУО за последващо тре</w:t>
      </w:r>
      <w:r w:rsidR="0044170D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тиране, </w:t>
      </w:r>
      <w:r w:rsid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>въз основа на сключени договори.</w:t>
      </w:r>
    </w:p>
    <w:p w:rsidR="002261C6" w:rsidRDefault="00AA1E6B" w:rsidP="00B136E1">
      <w:pPr>
        <w:ind w:firstLine="426"/>
        <w:jc w:val="both"/>
        <w:textAlignment w:val="top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AA1E6B">
        <w:rPr>
          <w:rFonts w:ascii="Times New Roman" w:hAnsi="Times New Roman"/>
          <w:bCs/>
          <w:color w:val="121314"/>
          <w:sz w:val="24"/>
          <w:szCs w:val="24"/>
          <w:lang w:val="bg-BG"/>
        </w:rPr>
        <w:t>Площадката</w:t>
      </w:r>
      <w:r w:rsid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</w:t>
      </w:r>
      <w:r w:rsidRPr="00AA1E6B">
        <w:rPr>
          <w:rFonts w:ascii="Times New Roman" w:hAnsi="Times New Roman"/>
          <w:bCs/>
          <w:color w:val="121314"/>
          <w:sz w:val="24"/>
          <w:szCs w:val="24"/>
          <w:lang w:val="bg-BG"/>
        </w:rPr>
        <w:t>е изградена от трайна настилка – бетон</w:t>
      </w:r>
      <w:r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и и</w:t>
      </w:r>
      <w:r w:rsidRPr="00AA1E6B">
        <w:rPr>
          <w:rFonts w:ascii="Times New Roman" w:hAnsi="Times New Roman"/>
          <w:bCs/>
          <w:color w:val="121314"/>
          <w:sz w:val="24"/>
          <w:szCs w:val="24"/>
          <w:lang w:val="bg-BG"/>
        </w:rPr>
        <w:t>ма обособени зони за разделно съхранение на получените отпадъци в зависимост от произхода и характера на веществата.</w:t>
      </w:r>
      <w:r w:rsidR="002261C6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</w:t>
      </w:r>
      <w:r w:rsidR="00960180">
        <w:rPr>
          <w:rFonts w:ascii="Times New Roman" w:hAnsi="Times New Roman"/>
          <w:bCs/>
          <w:color w:val="121314"/>
          <w:sz w:val="24"/>
          <w:szCs w:val="24"/>
          <w:lang w:val="bg-BG"/>
        </w:rPr>
        <w:t>В отделните производствени</w:t>
      </w:r>
      <w:r w:rsidR="0044170D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цехове, на </w:t>
      </w:r>
      <w:r w:rsidR="0044170D" w:rsidRPr="0044170D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територията на </w:t>
      </w:r>
      <w:r w:rsid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>обекта</w:t>
      </w:r>
      <w:r w:rsidR="0044170D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, са разположени и се експлоатират инсталации и технологични съоръжения, посредством които са </w:t>
      </w:r>
      <w:r w:rsidR="0044170D" w:rsidRPr="0044170D">
        <w:rPr>
          <w:rFonts w:ascii="Times New Roman" w:hAnsi="Times New Roman"/>
          <w:bCs/>
          <w:color w:val="121314"/>
          <w:sz w:val="24"/>
          <w:szCs w:val="24"/>
          <w:lang w:val="bg-BG"/>
        </w:rPr>
        <w:t>създадени необходимите условия и добра организация за извършване на разрешените дейности по третиране на отпадъци от полимери.</w:t>
      </w:r>
    </w:p>
    <w:p w:rsidR="00B136E1" w:rsidRDefault="00B136E1" w:rsidP="00B136E1">
      <w:pPr>
        <w:ind w:firstLine="426"/>
        <w:jc w:val="both"/>
        <w:textAlignment w:val="top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>Дружеството</w:t>
      </w:r>
      <w:r w:rsidR="003A24EB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</w:t>
      </w:r>
      <w:r w:rsidR="003A24EB" w:rsidRPr="003A24EB">
        <w:rPr>
          <w:rFonts w:ascii="Times New Roman" w:hAnsi="Times New Roman"/>
          <w:bCs/>
          <w:color w:val="121314"/>
          <w:sz w:val="24"/>
          <w:szCs w:val="24"/>
          <w:lang w:val="bg-BG"/>
        </w:rPr>
        <w:t>„Каскада“ ООД</w:t>
      </w:r>
      <w:r w:rsidRP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пуска на вътрешния пазар опакована стока след употребата на която се получават масово разпространени отпадъци от опаковки, за което дължи продукт</w:t>
      </w:r>
      <w:r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ова такса. Представи се договор </w:t>
      </w:r>
      <w:r w:rsidRP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>за поемане на задължения за оползотворяване на отпадъци от опаковки</w:t>
      </w:r>
      <w:r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, както и Удостоверение </w:t>
      </w:r>
      <w:r w:rsidRP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>в уверението на това, че дружеството участва в колективна сис</w:t>
      </w:r>
      <w:r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тема по чл.14, ал.2, т.2 от ЗУО. </w:t>
      </w:r>
      <w:r w:rsidRP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>Продуктовата такса се заплаща все</w:t>
      </w:r>
      <w:r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ки месец, за което се представиха </w:t>
      </w:r>
      <w:r w:rsidRP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месечни-справки декларации по Приложение №15 от </w:t>
      </w:r>
      <w:r w:rsidR="003A24EB" w:rsidRP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>Наредбата</w:t>
      </w:r>
      <w:r w:rsidRP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за определяне на реда и размера з</w:t>
      </w:r>
      <w:r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а заплащане на продуктова такса и </w:t>
      </w:r>
      <w:r w:rsidRP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>фактура за заплатена продуктова такса към организация по оползотворяване.</w:t>
      </w:r>
    </w:p>
    <w:p w:rsidR="00B136E1" w:rsidRDefault="00B136E1" w:rsidP="00B136E1">
      <w:pPr>
        <w:ind w:firstLine="426"/>
        <w:jc w:val="both"/>
        <w:textAlignment w:val="top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B136E1">
        <w:rPr>
          <w:rFonts w:ascii="Times New Roman" w:hAnsi="Times New Roman"/>
          <w:bCs/>
          <w:color w:val="121314"/>
          <w:sz w:val="24"/>
          <w:szCs w:val="24"/>
          <w:lang w:val="bg-BG"/>
        </w:rPr>
        <w:t>Дружеството изпълнява целите на организации по оползотворяване на отпадъци от опаковки, за което се представиха договори.</w:t>
      </w:r>
    </w:p>
    <w:p w:rsidR="003B6BFE" w:rsidRPr="003B6BFE" w:rsidRDefault="003B6BFE" w:rsidP="00B136E1">
      <w:pPr>
        <w:ind w:left="786"/>
        <w:jc w:val="both"/>
        <w:textAlignment w:val="top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</w:p>
    <w:p w:rsidR="003B6BFE" w:rsidRPr="003B6BFE" w:rsidRDefault="003B6BFE" w:rsidP="00B136E1">
      <w:pPr>
        <w:ind w:firstLine="426"/>
        <w:jc w:val="both"/>
        <w:rPr>
          <w:rStyle w:val="ab"/>
          <w:rFonts w:ascii="Times New Roman" w:hAnsi="Times New Roman"/>
          <w:b w:val="0"/>
          <w:i/>
          <w:color w:val="121314"/>
          <w:sz w:val="24"/>
          <w:szCs w:val="24"/>
          <w:lang w:val="bg-BG"/>
        </w:rPr>
      </w:pPr>
    </w:p>
    <w:p w:rsidR="003B6BFE" w:rsidRPr="003B6BFE" w:rsidRDefault="003B6BFE" w:rsidP="003B6BFE">
      <w:pPr>
        <w:numPr>
          <w:ilvl w:val="0"/>
          <w:numId w:val="2"/>
        </w:numPr>
        <w:jc w:val="both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  <w:r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По </w:t>
      </w:r>
      <w:r w:rsidR="00E10F52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компонент</w:t>
      </w:r>
      <w:r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„</w:t>
      </w:r>
      <w:r w:rsidR="00E10F52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Води</w:t>
      </w:r>
      <w:r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“:</w:t>
      </w:r>
    </w:p>
    <w:p w:rsidR="003B6BFE" w:rsidRPr="003B6BFE" w:rsidRDefault="003B6BFE" w:rsidP="003B6BFE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</w:p>
    <w:p w:rsidR="00B136E1" w:rsidRPr="00B136E1" w:rsidRDefault="00B136E1" w:rsidP="00B136E1">
      <w:pPr>
        <w:ind w:firstLine="426"/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Дружеството „Каскада“ ООД е титуляр на разрешително за </w:t>
      </w:r>
      <w:proofErr w:type="spellStart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заустване</w:t>
      </w:r>
      <w:proofErr w:type="spellEnd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с № 33740022/02.12.2008г., последно продължено и изменено с Решение № РР-4659/11.08.2022г., издадено от БД-ИБР Пловдив, за ползване на повърхностен воден обект – отводнителен канал, с цел </w:t>
      </w:r>
      <w:proofErr w:type="spellStart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заустване</w:t>
      </w:r>
      <w:proofErr w:type="spellEnd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в две точки.</w:t>
      </w:r>
    </w:p>
    <w:p w:rsidR="00B136E1" w:rsidRPr="00B136E1" w:rsidRDefault="00B136E1" w:rsidP="003A24EB">
      <w:pPr>
        <w:ind w:firstLine="426"/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На обекта се формират производствени отпадъчни води от изпиране на суровината след басейн за първично утаяване и езеро за последваща </w:t>
      </w:r>
      <w:proofErr w:type="spellStart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седиментация</w:t>
      </w:r>
      <w:proofErr w:type="spellEnd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, производствени температурно замърсени отпадъчни води, и дъждовни отпадъчни води. </w:t>
      </w:r>
    </w:p>
    <w:p w:rsidR="00B136E1" w:rsidRPr="00B136E1" w:rsidRDefault="00B136E1" w:rsidP="003A24EB">
      <w:pPr>
        <w:ind w:firstLine="426"/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lastRenderedPageBreak/>
        <w:t xml:space="preserve">Дружеството изпълнява заложените условия в РЗ – провежда собствен мониторинг на </w:t>
      </w:r>
      <w:proofErr w:type="spellStart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заустваните</w:t>
      </w:r>
      <w:proofErr w:type="spellEnd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отпадъчни води, представя в срок резултатите от проведения мониторинг, във връзка с чл. 174 от Закона за водите. В представените анализни протоколи не са установени отклонения от индивидуалните емисионни ограничения. </w:t>
      </w:r>
    </w:p>
    <w:p w:rsidR="00B136E1" w:rsidRPr="00B136E1" w:rsidRDefault="00B136E1" w:rsidP="00B136E1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Осигурено е измерване на количества </w:t>
      </w:r>
      <w:proofErr w:type="spellStart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заустени</w:t>
      </w:r>
      <w:proofErr w:type="spellEnd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отпадъчни води на изход пречиствателно съоръжение. В момента се изгражда </w:t>
      </w:r>
      <w:proofErr w:type="spellStart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каломаслоуловител</w:t>
      </w:r>
      <w:proofErr w:type="spellEnd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за дъждовни отпадъчни води, заложено като условие в РЗ.</w:t>
      </w:r>
    </w:p>
    <w:p w:rsidR="00B136E1" w:rsidRPr="00B136E1" w:rsidRDefault="00B136E1" w:rsidP="003A24EB">
      <w:pPr>
        <w:ind w:firstLine="720"/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Заведен е прошнуров</w:t>
      </w:r>
      <w:r w:rsidR="00DB7467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а</w:t>
      </w:r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н Дневник за технологична експлоатация, в който ежемесечно се вписват отчети за </w:t>
      </w:r>
      <w:proofErr w:type="spellStart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заустени</w:t>
      </w:r>
      <w:proofErr w:type="spellEnd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отпадъчни водни количества.</w:t>
      </w:r>
    </w:p>
    <w:p w:rsidR="00B136E1" w:rsidRPr="00B136E1" w:rsidRDefault="00B136E1" w:rsidP="00B136E1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Представен е доклад по чл. 48, ал.1, т. 12 от Закона за водите за 2025г. в законоустановения срок. </w:t>
      </w:r>
    </w:p>
    <w:p w:rsidR="00B136E1" w:rsidRPr="00B136E1" w:rsidRDefault="00B136E1" w:rsidP="003A24EB">
      <w:pPr>
        <w:ind w:firstLine="720"/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Осигурено е </w:t>
      </w:r>
      <w:proofErr w:type="spellStart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пробовземане</w:t>
      </w:r>
      <w:proofErr w:type="spellEnd"/>
      <w:r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и изследване на отпадъчните води от акредитирана лаборатория, съгласно плана за собствен мониторинг и разрешителното за ползване. </w:t>
      </w:r>
    </w:p>
    <w:p w:rsidR="003B6BFE" w:rsidRPr="003B6BFE" w:rsidRDefault="003A24EB" w:rsidP="003A24EB">
      <w:pPr>
        <w:ind w:firstLine="720"/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  <w:r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В</w:t>
      </w:r>
      <w:r w:rsidR="00B136E1"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зети </w:t>
      </w:r>
      <w:r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са </w:t>
      </w:r>
      <w:r w:rsidR="00B136E1" w:rsidRPr="00B136E1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проби за анализ от пункт за мониторинг №1. Пробата е взета от експерт РЛ-Пловдив в присъствие на представител на дружеството.</w:t>
      </w:r>
    </w:p>
    <w:p w:rsidR="003B6BFE" w:rsidRPr="003B6BFE" w:rsidRDefault="003B6BFE" w:rsidP="003B6BFE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</w:p>
    <w:p w:rsidR="003B6BFE" w:rsidRDefault="003B6BFE" w:rsidP="003B6BFE">
      <w:pPr>
        <w:jc w:val="both"/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bg-BG"/>
        </w:rPr>
      </w:pPr>
      <w:r w:rsidRPr="00E10F52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bg-BG"/>
        </w:rPr>
        <w:t>IV. Предписания, срокове за изпълнение, отговорници:</w:t>
      </w:r>
    </w:p>
    <w:p w:rsidR="004F70B5" w:rsidRPr="00E10F52" w:rsidRDefault="004F70B5" w:rsidP="003B6BFE">
      <w:pPr>
        <w:jc w:val="both"/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bg-BG"/>
        </w:rPr>
      </w:pPr>
    </w:p>
    <w:p w:rsidR="00E10F52" w:rsidRPr="00E10F52" w:rsidRDefault="00E10F52" w:rsidP="003B6BFE">
      <w:pPr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</w:pPr>
      <w:r w:rsidRPr="00E10F52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</w:t>
      </w:r>
      <w:r w:rsidRPr="00E10F52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ab/>
        <w:t xml:space="preserve">Няма. </w:t>
      </w:r>
    </w:p>
    <w:p w:rsidR="003B6BFE" w:rsidRPr="00E10F52" w:rsidRDefault="003B6BFE" w:rsidP="003B6BFE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10F52">
        <w:rPr>
          <w:rFonts w:ascii="Times New Roman" w:hAnsi="Times New Roman"/>
          <w:bCs/>
          <w:sz w:val="24"/>
          <w:szCs w:val="24"/>
          <w:lang w:val="bg-BG"/>
        </w:rPr>
        <w:t xml:space="preserve">       </w:t>
      </w:r>
    </w:p>
    <w:p w:rsidR="003B6BFE" w:rsidRDefault="003B6BFE" w:rsidP="003B6BFE">
      <w:pPr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</w:pPr>
      <w:r w:rsidRPr="00E10F52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V. Съответствие, последващ контрол:</w:t>
      </w:r>
    </w:p>
    <w:p w:rsidR="004F70B5" w:rsidRPr="00E10F52" w:rsidRDefault="004F70B5" w:rsidP="003B6BFE">
      <w:pPr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</w:pPr>
    </w:p>
    <w:p w:rsidR="00254D0B" w:rsidRPr="00E10F52" w:rsidRDefault="003B6BFE" w:rsidP="003B6BF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10F52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          </w:t>
      </w:r>
      <w:r w:rsidR="00E10F52" w:rsidRPr="00E10F52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При извършената проверка не са установени нарушения на екологичното законодателство по проверяваните компоненти и фактори</w:t>
      </w:r>
      <w:bookmarkStart w:id="0" w:name="_GoBack"/>
      <w:bookmarkEnd w:id="0"/>
      <w:r w:rsidR="00E10F52" w:rsidRPr="00E10F52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.</w:t>
      </w:r>
    </w:p>
    <w:sectPr w:rsidR="00254D0B" w:rsidRPr="00E10F52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FC0" w:rsidRDefault="00337FC0">
      <w:r>
        <w:separator/>
      </w:r>
    </w:p>
  </w:endnote>
  <w:endnote w:type="continuationSeparator" w:id="0">
    <w:p w:rsidR="00337FC0" w:rsidRDefault="0033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3E1109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3E1109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71475" cy="371475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3E1109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71475" cy="371475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3E1109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3E1109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71475" cy="371475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3E1109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71475" cy="371475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FC0" w:rsidRDefault="00337FC0">
      <w:r>
        <w:separator/>
      </w:r>
    </w:p>
  </w:footnote>
  <w:footnote w:type="continuationSeparator" w:id="0">
    <w:p w:rsidR="00337FC0" w:rsidRDefault="00337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3E1109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3E110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87572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3E1109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1767AE1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04358"/>
    <w:multiLevelType w:val="hybridMultilevel"/>
    <w:tmpl w:val="D49CDC42"/>
    <w:lvl w:ilvl="0" w:tplc="DF929A5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631EFA"/>
    <w:multiLevelType w:val="hybridMultilevel"/>
    <w:tmpl w:val="3DE26B4C"/>
    <w:lvl w:ilvl="0" w:tplc="DF929A5A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415D7"/>
    <w:rsid w:val="00043B6D"/>
    <w:rsid w:val="00066AA2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3635"/>
    <w:rsid w:val="0020653E"/>
    <w:rsid w:val="002261C6"/>
    <w:rsid w:val="00233451"/>
    <w:rsid w:val="0024120B"/>
    <w:rsid w:val="002501B0"/>
    <w:rsid w:val="00254D0B"/>
    <w:rsid w:val="00266D04"/>
    <w:rsid w:val="002B7809"/>
    <w:rsid w:val="002C252C"/>
    <w:rsid w:val="002E25EF"/>
    <w:rsid w:val="002E38A4"/>
    <w:rsid w:val="002F0262"/>
    <w:rsid w:val="003106F6"/>
    <w:rsid w:val="003132A0"/>
    <w:rsid w:val="00324274"/>
    <w:rsid w:val="00337FC0"/>
    <w:rsid w:val="0034511F"/>
    <w:rsid w:val="00351BBE"/>
    <w:rsid w:val="003A08E0"/>
    <w:rsid w:val="003A24EB"/>
    <w:rsid w:val="003B6BFE"/>
    <w:rsid w:val="003D295E"/>
    <w:rsid w:val="003E1109"/>
    <w:rsid w:val="00421337"/>
    <w:rsid w:val="0044170D"/>
    <w:rsid w:val="00442A73"/>
    <w:rsid w:val="00446795"/>
    <w:rsid w:val="00450C34"/>
    <w:rsid w:val="00462ED5"/>
    <w:rsid w:val="004802A4"/>
    <w:rsid w:val="004B7D22"/>
    <w:rsid w:val="004C3144"/>
    <w:rsid w:val="004F70B5"/>
    <w:rsid w:val="004F765C"/>
    <w:rsid w:val="00516DAD"/>
    <w:rsid w:val="00545E5B"/>
    <w:rsid w:val="0057056E"/>
    <w:rsid w:val="00582663"/>
    <w:rsid w:val="005A3B17"/>
    <w:rsid w:val="005A4A7A"/>
    <w:rsid w:val="005B561D"/>
    <w:rsid w:val="005B69F7"/>
    <w:rsid w:val="005C2BBF"/>
    <w:rsid w:val="005D7788"/>
    <w:rsid w:val="005F5E28"/>
    <w:rsid w:val="00602A0B"/>
    <w:rsid w:val="00616DCB"/>
    <w:rsid w:val="00622230"/>
    <w:rsid w:val="006340C8"/>
    <w:rsid w:val="00661C46"/>
    <w:rsid w:val="006A421B"/>
    <w:rsid w:val="006B0B9A"/>
    <w:rsid w:val="006D21A3"/>
    <w:rsid w:val="006E1608"/>
    <w:rsid w:val="00714D69"/>
    <w:rsid w:val="0072407F"/>
    <w:rsid w:val="00735898"/>
    <w:rsid w:val="00761C92"/>
    <w:rsid w:val="007719EF"/>
    <w:rsid w:val="00776E91"/>
    <w:rsid w:val="007A07E7"/>
    <w:rsid w:val="007A6290"/>
    <w:rsid w:val="007A7B40"/>
    <w:rsid w:val="007B6DFE"/>
    <w:rsid w:val="00842F0C"/>
    <w:rsid w:val="0085348A"/>
    <w:rsid w:val="00860390"/>
    <w:rsid w:val="0088526F"/>
    <w:rsid w:val="0089514A"/>
    <w:rsid w:val="00896594"/>
    <w:rsid w:val="008A0444"/>
    <w:rsid w:val="008B0206"/>
    <w:rsid w:val="008B1300"/>
    <w:rsid w:val="008D749E"/>
    <w:rsid w:val="0093612F"/>
    <w:rsid w:val="00936425"/>
    <w:rsid w:val="00945275"/>
    <w:rsid w:val="00946D85"/>
    <w:rsid w:val="00955648"/>
    <w:rsid w:val="00960180"/>
    <w:rsid w:val="009712DB"/>
    <w:rsid w:val="00973C05"/>
    <w:rsid w:val="00974546"/>
    <w:rsid w:val="009A49E5"/>
    <w:rsid w:val="009C28A8"/>
    <w:rsid w:val="009E7D8E"/>
    <w:rsid w:val="009F0994"/>
    <w:rsid w:val="00A32F7F"/>
    <w:rsid w:val="00A33765"/>
    <w:rsid w:val="00A40542"/>
    <w:rsid w:val="00A44B9E"/>
    <w:rsid w:val="00A56FFF"/>
    <w:rsid w:val="00A92E12"/>
    <w:rsid w:val="00AA1E6B"/>
    <w:rsid w:val="00AD0F0E"/>
    <w:rsid w:val="00AD11C4"/>
    <w:rsid w:val="00AD13E8"/>
    <w:rsid w:val="00B0052C"/>
    <w:rsid w:val="00B06A2A"/>
    <w:rsid w:val="00B11347"/>
    <w:rsid w:val="00B136E1"/>
    <w:rsid w:val="00B27B64"/>
    <w:rsid w:val="00B373AA"/>
    <w:rsid w:val="00B76562"/>
    <w:rsid w:val="00BC16C9"/>
    <w:rsid w:val="00BF4E39"/>
    <w:rsid w:val="00C00904"/>
    <w:rsid w:val="00C02136"/>
    <w:rsid w:val="00C36910"/>
    <w:rsid w:val="00C473A4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259F5"/>
    <w:rsid w:val="00D450FA"/>
    <w:rsid w:val="00D530CC"/>
    <w:rsid w:val="00D61AE4"/>
    <w:rsid w:val="00D63107"/>
    <w:rsid w:val="00D7472F"/>
    <w:rsid w:val="00D80078"/>
    <w:rsid w:val="00D93AB6"/>
    <w:rsid w:val="00DB59D4"/>
    <w:rsid w:val="00DB7467"/>
    <w:rsid w:val="00DC60E0"/>
    <w:rsid w:val="00DE1749"/>
    <w:rsid w:val="00DF43B6"/>
    <w:rsid w:val="00E10F52"/>
    <w:rsid w:val="00E344E2"/>
    <w:rsid w:val="00E72488"/>
    <w:rsid w:val="00E8208C"/>
    <w:rsid w:val="00EA3B1F"/>
    <w:rsid w:val="00EB1B62"/>
    <w:rsid w:val="00EB63EB"/>
    <w:rsid w:val="00EC304D"/>
    <w:rsid w:val="00ED1377"/>
    <w:rsid w:val="00F13964"/>
    <w:rsid w:val="00F54142"/>
    <w:rsid w:val="00F66C88"/>
    <w:rsid w:val="00F72CF1"/>
    <w:rsid w:val="00F74415"/>
    <w:rsid w:val="00FA174D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1E9595E"/>
  <w15:chartTrackingRefBased/>
  <w15:docId w15:val="{16CBE55C-C28B-4928-AD4D-DA0DCCE4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Pavlina Krysteva</cp:lastModifiedBy>
  <cp:revision>4</cp:revision>
  <cp:lastPrinted>2026-03-10T14:52:00Z</cp:lastPrinted>
  <dcterms:created xsi:type="dcterms:W3CDTF">2026-03-11T13:09:00Z</dcterms:created>
  <dcterms:modified xsi:type="dcterms:W3CDTF">2026-03-12T13:39:00Z</dcterms:modified>
</cp:coreProperties>
</file>