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5A4A7A" w:rsidRPr="003B6BFE" w:rsidRDefault="003C2346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5.9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:rsid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38D4" w:rsidRDefault="008338D4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338D4" w:rsidRPr="0005364D" w:rsidRDefault="008338D4" w:rsidP="003B6BFE">
      <w:pPr>
        <w:jc w:val="center"/>
        <w:rPr>
          <w:rFonts w:ascii="Verdana" w:hAnsi="Verdana"/>
          <w:b/>
          <w:lang w:val="ru-RU"/>
        </w:rPr>
      </w:pPr>
    </w:p>
    <w:p w:rsidR="003B6BFE" w:rsidRPr="0005364D" w:rsidRDefault="003B6BFE" w:rsidP="003B6BFE">
      <w:pPr>
        <w:jc w:val="center"/>
        <w:rPr>
          <w:rFonts w:ascii="Verdana" w:hAnsi="Verdana"/>
          <w:b/>
          <w:lang w:val="ru-RU"/>
        </w:rPr>
      </w:pPr>
      <w:r w:rsidRPr="0005364D">
        <w:rPr>
          <w:rFonts w:ascii="Verdana" w:hAnsi="Verdana"/>
          <w:b/>
          <w:lang w:val="ru-RU"/>
        </w:rPr>
        <w:t xml:space="preserve">ДОКЛАД </w:t>
      </w:r>
    </w:p>
    <w:p w:rsidR="003B6BFE" w:rsidRPr="0005364D" w:rsidRDefault="003B6BFE" w:rsidP="003B6BFE">
      <w:pPr>
        <w:jc w:val="center"/>
        <w:rPr>
          <w:rFonts w:ascii="Verdana" w:hAnsi="Verdana"/>
          <w:b/>
          <w:lang w:val="bg-BG"/>
        </w:rPr>
      </w:pPr>
      <w:r w:rsidRPr="0005364D">
        <w:rPr>
          <w:rFonts w:ascii="Verdana" w:hAnsi="Verdana"/>
          <w:b/>
          <w:lang w:val="bg-BG"/>
        </w:rPr>
        <w:t xml:space="preserve">за извършена комплексна проверка </w:t>
      </w:r>
    </w:p>
    <w:p w:rsidR="003B6BFE" w:rsidRPr="0005364D" w:rsidRDefault="003B6BFE" w:rsidP="003B6BFE">
      <w:pPr>
        <w:jc w:val="both"/>
        <w:rPr>
          <w:rFonts w:ascii="Verdana" w:hAnsi="Verdana"/>
          <w:lang w:val="bg-BG"/>
        </w:rPr>
      </w:pPr>
    </w:p>
    <w:p w:rsidR="00354A0B" w:rsidRPr="0005364D" w:rsidRDefault="00354A0B" w:rsidP="00354A0B">
      <w:p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b/>
          <w:lang w:val="bg-BG"/>
        </w:rPr>
        <w:t>На основание:</w:t>
      </w:r>
      <w:r w:rsidRPr="0005364D">
        <w:rPr>
          <w:rFonts w:ascii="Verdana" w:hAnsi="Verdana"/>
          <w:lang w:val="bg-BG"/>
        </w:rPr>
        <w:t xml:space="preserve"> План за контролната дейност за 2026 г. на РИОСВ – Пловдив, утвърден от Министъра на околната среда и водите и Заповед на Директора на РИОСВ-Пловдив, на </w:t>
      </w:r>
      <w:r w:rsidR="000316D9" w:rsidRPr="0005364D">
        <w:rPr>
          <w:rFonts w:ascii="Verdana" w:hAnsi="Verdana"/>
          <w:lang w:val="bg-BG"/>
        </w:rPr>
        <w:t>22</w:t>
      </w:r>
      <w:r w:rsidR="0007528F" w:rsidRPr="0005364D">
        <w:rPr>
          <w:rFonts w:ascii="Verdana" w:hAnsi="Verdana"/>
          <w:lang w:val="bg-BG"/>
        </w:rPr>
        <w:t>.06</w:t>
      </w:r>
      <w:r w:rsidRPr="0005364D">
        <w:rPr>
          <w:rFonts w:ascii="Verdana" w:hAnsi="Verdana"/>
          <w:lang w:val="bg-BG"/>
        </w:rPr>
        <w:t>.2026 г. е извършена комплексна проверка в обект „</w:t>
      </w:r>
      <w:r w:rsidR="000316D9" w:rsidRPr="0005364D">
        <w:rPr>
          <w:rFonts w:ascii="Verdana" w:hAnsi="Verdana"/>
          <w:lang w:val="bg-BG"/>
        </w:rPr>
        <w:t>Млекопреработвателно предприятие</w:t>
      </w:r>
      <w:r w:rsidRPr="0005364D">
        <w:rPr>
          <w:rFonts w:ascii="Verdana" w:hAnsi="Verdana"/>
          <w:lang w:val="bg-BG"/>
        </w:rPr>
        <w:t>“ с оператор „</w:t>
      </w:r>
      <w:r w:rsidR="000316D9" w:rsidRPr="0005364D">
        <w:rPr>
          <w:rFonts w:ascii="Verdana" w:hAnsi="Verdana"/>
          <w:lang w:val="bg-BG"/>
        </w:rPr>
        <w:t>ЕМ ДЖЕЙ ДЕРИЗ</w:t>
      </w:r>
      <w:r w:rsidRPr="0005364D">
        <w:rPr>
          <w:rFonts w:ascii="Verdana" w:hAnsi="Verdana"/>
          <w:lang w:val="bg-BG"/>
        </w:rPr>
        <w:t xml:space="preserve">“ </w:t>
      </w:r>
      <w:r w:rsidR="0007528F" w:rsidRPr="0005364D">
        <w:rPr>
          <w:rFonts w:ascii="Verdana" w:hAnsi="Verdana"/>
          <w:lang w:val="bg-BG"/>
        </w:rPr>
        <w:t>Е</w:t>
      </w:r>
      <w:r w:rsidRPr="0005364D">
        <w:rPr>
          <w:rFonts w:ascii="Verdana" w:hAnsi="Verdana"/>
          <w:lang w:val="bg-BG"/>
        </w:rPr>
        <w:t xml:space="preserve">ООД, разположено в </w:t>
      </w:r>
      <w:r w:rsidR="00F81521" w:rsidRPr="0005364D">
        <w:rPr>
          <w:rFonts w:ascii="Verdana" w:hAnsi="Verdana"/>
          <w:lang w:val="bg-BG"/>
        </w:rPr>
        <w:t xml:space="preserve">гр. </w:t>
      </w:r>
      <w:r w:rsidR="00DB20FC">
        <w:rPr>
          <w:rFonts w:ascii="Verdana" w:hAnsi="Verdana"/>
          <w:lang w:val="bg-BG"/>
        </w:rPr>
        <w:t>Карлово</w:t>
      </w:r>
    </w:p>
    <w:p w:rsidR="00354A0B" w:rsidRPr="0005364D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</w:p>
    <w:p w:rsidR="00354A0B" w:rsidRPr="0005364D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  <w:r w:rsidRPr="0005364D">
        <w:rPr>
          <w:rFonts w:ascii="Verdana" w:hAnsi="Verdana"/>
          <w:b/>
          <w:bCs/>
          <w:lang w:val="bg-BG"/>
        </w:rPr>
        <w:t>I. Цел на проверката:</w:t>
      </w:r>
    </w:p>
    <w:p w:rsidR="00354A0B" w:rsidRPr="0005364D" w:rsidRDefault="00354A0B" w:rsidP="00354A0B">
      <w:pPr>
        <w:ind w:firstLine="720"/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 xml:space="preserve">Основна цел на проверката е установяване на нивото и степента на съответствие на дейността в обекта с изискванията, заложени в </w:t>
      </w:r>
      <w:r w:rsidRPr="0005364D">
        <w:rPr>
          <w:rFonts w:ascii="Verdana" w:hAnsi="Verdana"/>
          <w:i/>
          <w:lang w:val="bg-BG"/>
        </w:rPr>
        <w:t xml:space="preserve">Закона за опазване на околната среда(ЗООС), Закона за чистотата на атмосферния въздух (ЗЧАВ), Закона за </w:t>
      </w:r>
      <w:r w:rsidR="00F81521" w:rsidRPr="0005364D">
        <w:rPr>
          <w:rFonts w:ascii="Verdana" w:hAnsi="Verdana"/>
          <w:i/>
          <w:lang w:val="bg-BG"/>
        </w:rPr>
        <w:t>управление на отпадъците</w:t>
      </w:r>
      <w:r w:rsidR="0007528F" w:rsidRPr="0005364D">
        <w:rPr>
          <w:rFonts w:ascii="Verdana" w:hAnsi="Verdana"/>
          <w:i/>
          <w:lang w:val="bg-BG"/>
        </w:rPr>
        <w:t xml:space="preserve"> (З</w:t>
      </w:r>
      <w:r w:rsidR="00F81521" w:rsidRPr="0005364D">
        <w:rPr>
          <w:rFonts w:ascii="Verdana" w:hAnsi="Verdana"/>
          <w:i/>
          <w:lang w:val="bg-BG"/>
        </w:rPr>
        <w:t>УО</w:t>
      </w:r>
      <w:r w:rsidRPr="0005364D">
        <w:rPr>
          <w:rFonts w:ascii="Verdana" w:hAnsi="Verdana"/>
          <w:i/>
          <w:lang w:val="bg-BG"/>
        </w:rPr>
        <w:t>)</w:t>
      </w:r>
      <w:r w:rsidR="00F81521" w:rsidRPr="0005364D">
        <w:rPr>
          <w:rFonts w:ascii="Verdana" w:hAnsi="Verdana"/>
          <w:i/>
          <w:lang w:val="bg-BG"/>
        </w:rPr>
        <w:t>, Закона</w:t>
      </w:r>
      <w:r w:rsidR="000316D9" w:rsidRPr="0005364D">
        <w:rPr>
          <w:rFonts w:ascii="Verdana" w:hAnsi="Verdana"/>
          <w:i/>
          <w:lang w:val="bg-BG"/>
        </w:rPr>
        <w:t xml:space="preserve"> за</w:t>
      </w:r>
      <w:r w:rsidR="00F81521" w:rsidRPr="0005364D">
        <w:rPr>
          <w:rFonts w:ascii="Verdana" w:hAnsi="Verdana"/>
          <w:i/>
          <w:lang w:val="bg-BG"/>
        </w:rPr>
        <w:t xml:space="preserve"> </w:t>
      </w:r>
      <w:r w:rsidR="000316D9" w:rsidRPr="0005364D">
        <w:rPr>
          <w:rFonts w:ascii="Verdana" w:hAnsi="Verdana"/>
          <w:i/>
          <w:lang w:val="bg-BG"/>
        </w:rPr>
        <w:t>водите</w:t>
      </w:r>
      <w:r w:rsidR="00F81521" w:rsidRPr="0005364D">
        <w:rPr>
          <w:rFonts w:ascii="Verdana" w:hAnsi="Verdana"/>
          <w:i/>
          <w:lang w:val="bg-BG"/>
        </w:rPr>
        <w:t xml:space="preserve"> (</w:t>
      </w:r>
      <w:r w:rsidR="000316D9" w:rsidRPr="0005364D">
        <w:rPr>
          <w:rFonts w:ascii="Verdana" w:hAnsi="Verdana"/>
          <w:i/>
          <w:lang w:val="bg-BG"/>
        </w:rPr>
        <w:t>ЗВ</w:t>
      </w:r>
      <w:r w:rsidR="00F81521" w:rsidRPr="0005364D">
        <w:rPr>
          <w:rFonts w:ascii="Verdana" w:hAnsi="Verdana"/>
          <w:i/>
          <w:lang w:val="bg-BG"/>
        </w:rPr>
        <w:t>)</w:t>
      </w:r>
      <w:r w:rsidR="00E471F8" w:rsidRPr="0005364D">
        <w:rPr>
          <w:rFonts w:ascii="Verdana" w:hAnsi="Verdana"/>
          <w:i/>
          <w:lang w:val="bg-BG"/>
        </w:rPr>
        <w:t xml:space="preserve">, Закона за отговорността за предотвратяване и отстраняване на екологични щети (ЗОПОЕЩ) </w:t>
      </w:r>
      <w:r w:rsidRPr="0005364D">
        <w:rPr>
          <w:rFonts w:ascii="Verdana" w:hAnsi="Verdana"/>
          <w:i/>
          <w:lang w:val="bg-BG"/>
        </w:rPr>
        <w:t xml:space="preserve"> </w:t>
      </w:r>
      <w:r w:rsidRPr="0005364D">
        <w:rPr>
          <w:rFonts w:ascii="Verdana" w:hAnsi="Verdana"/>
          <w:lang w:val="bg-BG"/>
        </w:rPr>
        <w:t>и подзаконовите нормативни актове към тях, както и Регламенти на Европейския съюз и на Съвета.</w:t>
      </w:r>
    </w:p>
    <w:p w:rsidR="00354A0B" w:rsidRPr="0005364D" w:rsidRDefault="00354A0B" w:rsidP="00354A0B">
      <w:pPr>
        <w:spacing w:line="276" w:lineRule="auto"/>
        <w:jc w:val="both"/>
        <w:rPr>
          <w:rFonts w:ascii="Verdana" w:hAnsi="Verdana"/>
          <w:bCs/>
          <w:lang w:val="bg-BG"/>
        </w:rPr>
      </w:pPr>
    </w:p>
    <w:p w:rsidR="00354A0B" w:rsidRPr="0005364D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  <w:r w:rsidRPr="0005364D">
        <w:rPr>
          <w:rFonts w:ascii="Verdana" w:hAnsi="Verdana"/>
          <w:b/>
          <w:bCs/>
          <w:lang w:val="bg-BG"/>
        </w:rPr>
        <w:t>II. Проверени инсталации:</w:t>
      </w:r>
    </w:p>
    <w:p w:rsidR="00354A0B" w:rsidRPr="0005364D" w:rsidRDefault="00354A0B" w:rsidP="00354A0B">
      <w:pPr>
        <w:spacing w:line="276" w:lineRule="auto"/>
        <w:jc w:val="both"/>
        <w:rPr>
          <w:rFonts w:ascii="Verdana" w:hAnsi="Verdana"/>
          <w:b/>
          <w:bCs/>
          <w:lang w:val="bg-BG"/>
        </w:rPr>
      </w:pPr>
    </w:p>
    <w:p w:rsidR="00907501" w:rsidRPr="0005364D" w:rsidRDefault="00354A0B" w:rsidP="00907501">
      <w:p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bCs/>
          <w:lang w:val="bg-BG"/>
        </w:rPr>
        <w:t xml:space="preserve">Дейността на територията на обекта е свързана с </w:t>
      </w:r>
      <w:r w:rsidR="000316D9" w:rsidRPr="0005364D">
        <w:rPr>
          <w:rFonts w:ascii="Verdana" w:hAnsi="Verdana"/>
          <w:bCs/>
          <w:lang w:val="bg-BG"/>
        </w:rPr>
        <w:t>преработка на сурово мляко и производство на млечни продукти</w:t>
      </w:r>
    </w:p>
    <w:p w:rsidR="00907501" w:rsidRPr="0005364D" w:rsidRDefault="00907501" w:rsidP="00907501">
      <w:p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>На територията на дружеството се посетиха</w:t>
      </w:r>
      <w:r w:rsidR="000316D9" w:rsidRPr="0005364D">
        <w:rPr>
          <w:rFonts w:ascii="Verdana" w:hAnsi="Verdana"/>
          <w:lang w:val="bg-BG"/>
        </w:rPr>
        <w:t xml:space="preserve"> и са проверени</w:t>
      </w:r>
      <w:r w:rsidRPr="0005364D">
        <w:rPr>
          <w:rFonts w:ascii="Verdana" w:hAnsi="Verdana"/>
          <w:lang w:val="bg-BG"/>
        </w:rPr>
        <w:t>:</w:t>
      </w:r>
    </w:p>
    <w:p w:rsidR="000316D9" w:rsidRPr="0005364D" w:rsidRDefault="000316D9" w:rsidP="000316D9">
      <w:pPr>
        <w:numPr>
          <w:ilvl w:val="0"/>
          <w:numId w:val="5"/>
        </w:num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>Котелно помещение;</w:t>
      </w:r>
    </w:p>
    <w:p w:rsidR="000316D9" w:rsidRPr="0005364D" w:rsidRDefault="000316D9" w:rsidP="000316D9">
      <w:pPr>
        <w:numPr>
          <w:ilvl w:val="0"/>
          <w:numId w:val="5"/>
        </w:num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>Хладилни системи;</w:t>
      </w:r>
    </w:p>
    <w:p w:rsidR="000316D9" w:rsidRPr="0005364D" w:rsidRDefault="000316D9" w:rsidP="000316D9">
      <w:pPr>
        <w:numPr>
          <w:ilvl w:val="0"/>
          <w:numId w:val="5"/>
        </w:num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>ПСОВ;</w:t>
      </w:r>
    </w:p>
    <w:p w:rsidR="000316D9" w:rsidRPr="0005364D" w:rsidRDefault="000316D9" w:rsidP="000316D9">
      <w:pPr>
        <w:numPr>
          <w:ilvl w:val="0"/>
          <w:numId w:val="5"/>
        </w:num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>Места за съхранение на отпадъци;</w:t>
      </w:r>
    </w:p>
    <w:p w:rsidR="00907501" w:rsidRPr="0005364D" w:rsidRDefault="00907501" w:rsidP="00907501">
      <w:pPr>
        <w:numPr>
          <w:ilvl w:val="0"/>
          <w:numId w:val="5"/>
        </w:num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>Документи, които оператора следва да води, съгласно нормативните изисквания</w:t>
      </w:r>
    </w:p>
    <w:p w:rsidR="00354A0B" w:rsidRPr="0005364D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</w:rPr>
      </w:pPr>
    </w:p>
    <w:p w:rsidR="00354A0B" w:rsidRPr="0005364D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Cs/>
          <w:color w:val="121314"/>
          <w:lang w:val="bg-BG"/>
        </w:rPr>
      </w:pPr>
      <w:r w:rsidRPr="0005364D">
        <w:rPr>
          <w:rFonts w:ascii="Verdana" w:hAnsi="Verdana"/>
          <w:b/>
          <w:bCs/>
          <w:lang w:val="bg-BG"/>
        </w:rPr>
        <w:t>III. Констатации от проверката по компоненти и фактори:</w:t>
      </w:r>
      <w:r w:rsidRPr="0005364D">
        <w:rPr>
          <w:rFonts w:ascii="Verdana" w:hAnsi="Verdana"/>
          <w:bCs/>
          <w:color w:val="121314"/>
          <w:lang w:val="bg-BG"/>
        </w:rPr>
        <w:t xml:space="preserve"> </w:t>
      </w:r>
    </w:p>
    <w:p w:rsidR="00354A0B" w:rsidRPr="0005364D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Cs/>
          <w:color w:val="121314"/>
          <w:lang w:val="bg-BG"/>
        </w:rPr>
      </w:pPr>
    </w:p>
    <w:p w:rsidR="00045408" w:rsidRPr="0005364D" w:rsidRDefault="00354A0B" w:rsidP="00045408">
      <w:pPr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color w:val="121314"/>
          <w:lang w:val="bg-BG"/>
        </w:rPr>
      </w:pPr>
      <w:r w:rsidRPr="0005364D">
        <w:rPr>
          <w:rFonts w:ascii="Verdana" w:hAnsi="Verdana"/>
          <w:b/>
          <w:bCs/>
          <w:color w:val="121314"/>
          <w:lang w:val="bg-BG"/>
        </w:rPr>
        <w:t>Компонент „Атмосферен въздух“</w:t>
      </w:r>
    </w:p>
    <w:p w:rsidR="00045408" w:rsidRPr="0005364D" w:rsidRDefault="00045408" w:rsidP="00045408">
      <w:pPr>
        <w:tabs>
          <w:tab w:val="left" w:pos="284"/>
        </w:tabs>
        <w:spacing w:line="276" w:lineRule="auto"/>
        <w:ind w:left="285"/>
        <w:jc w:val="both"/>
        <w:rPr>
          <w:rFonts w:ascii="Verdana" w:hAnsi="Verdana"/>
          <w:b/>
          <w:bCs/>
          <w:color w:val="121314"/>
          <w:lang w:val="bg-BG"/>
        </w:rPr>
      </w:pPr>
    </w:p>
    <w:p w:rsidR="000316D9" w:rsidRPr="0005364D" w:rsidRDefault="000316D9" w:rsidP="000316D9">
      <w:p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>Основната дейност на дружеството е свързана с производство на млечни продукти от сурово мляко.</w:t>
      </w:r>
    </w:p>
    <w:p w:rsidR="000316D9" w:rsidRPr="0005364D" w:rsidRDefault="000316D9" w:rsidP="000316D9">
      <w:p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 xml:space="preserve">На територията на обекта се експлоатират два нови  парни котела  с номинална мощност от 2,838 </w:t>
      </w:r>
      <w:r w:rsidRPr="0005364D">
        <w:rPr>
          <w:rFonts w:ascii="Verdana" w:hAnsi="Verdana"/>
        </w:rPr>
        <w:t>MW</w:t>
      </w:r>
      <w:r w:rsidRPr="0005364D">
        <w:rPr>
          <w:rFonts w:ascii="Verdana" w:hAnsi="Verdana"/>
          <w:lang w:val="bg-BG"/>
        </w:rPr>
        <w:t xml:space="preserve"> всеки. Същите са работещи с гориво природен газ и биогаз от </w:t>
      </w:r>
      <w:r w:rsidRPr="0005364D">
        <w:rPr>
          <w:rFonts w:ascii="Verdana" w:hAnsi="Verdana"/>
          <w:lang w:val="bg-BG"/>
        </w:rPr>
        <w:lastRenderedPageBreak/>
        <w:t xml:space="preserve">собствена биогаз инсталация. Към момента на проверката в работен режим е Парен котел ПД ПК 0844 с мощност 2,838 </w:t>
      </w:r>
      <w:r w:rsidRPr="0005364D">
        <w:rPr>
          <w:rFonts w:ascii="Verdana" w:hAnsi="Verdana"/>
        </w:rPr>
        <w:t>MW</w:t>
      </w:r>
      <w:r w:rsidRPr="0005364D">
        <w:rPr>
          <w:rFonts w:ascii="Verdana" w:hAnsi="Verdana"/>
          <w:lang w:val="bg-BG"/>
        </w:rPr>
        <w:t xml:space="preserve"> и </w:t>
      </w:r>
      <w:proofErr w:type="spellStart"/>
      <w:r w:rsidRPr="0005364D">
        <w:rPr>
          <w:rFonts w:ascii="Verdana" w:hAnsi="Verdana"/>
          <w:lang w:val="bg-BG"/>
        </w:rPr>
        <w:t>паропроизводство</w:t>
      </w:r>
      <w:proofErr w:type="spellEnd"/>
      <w:r w:rsidRPr="0005364D">
        <w:rPr>
          <w:rFonts w:ascii="Verdana" w:hAnsi="Verdana"/>
          <w:lang w:val="bg-BG"/>
        </w:rPr>
        <w:t xml:space="preserve"> 4 тона пара на час. Котела е монтиран през 2026 г. и е минал технически надзор през месец април 2026 г. Втория котел към момента на проверката е режим на 72 часови проби, същия е </w:t>
      </w:r>
      <w:proofErr w:type="spellStart"/>
      <w:r w:rsidRPr="0005364D">
        <w:rPr>
          <w:rFonts w:ascii="Verdana" w:hAnsi="Verdana"/>
          <w:lang w:val="bg-BG"/>
        </w:rPr>
        <w:t>новозакупен</w:t>
      </w:r>
      <w:proofErr w:type="spellEnd"/>
      <w:r w:rsidRPr="0005364D">
        <w:rPr>
          <w:rFonts w:ascii="Verdana" w:hAnsi="Verdana"/>
          <w:lang w:val="bg-BG"/>
        </w:rPr>
        <w:t xml:space="preserve"> /не е експлоатиран до момента/. И двата котела са с възможност за работа на природен газ и биогаз чрез превключване от едно гориво на друго /не работят на смесено гориво/. Котлите са инсталирани в съществуваща котелна централа, като всеки един от тях е със собствено изпускащо устройство и точка за вземане на проби.</w:t>
      </w:r>
    </w:p>
    <w:p w:rsidR="000316D9" w:rsidRPr="0005364D" w:rsidRDefault="000316D9" w:rsidP="000316D9">
      <w:p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>Старите котли са демонтирани, но се намират на територията на обекта.</w:t>
      </w:r>
    </w:p>
    <w:p w:rsidR="000316D9" w:rsidRPr="0005364D" w:rsidRDefault="000316D9" w:rsidP="000316D9">
      <w:p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 xml:space="preserve">За съхранение на суровини /сурово мляко/ и готов продукт на територията на дружеството се експлоатира оборудване попадащо в обхвата на Регламент (ЕС)  2024/573. За системите се представиха досиета, които се водят редовно и съдържат записи от извършени проверки за течове съгласно периодиката посочена в Регламент (ЕС)  2024/573. Проверките са извършени от лице притежаващо сертификат издаден от Българска браншова камара по мошиностроене. Системите са етикетирани и за тях е представен отчет по приложение №9 в Информационната система за </w:t>
      </w:r>
      <w:proofErr w:type="spellStart"/>
      <w:r w:rsidRPr="0005364D">
        <w:rPr>
          <w:rFonts w:ascii="Verdana" w:hAnsi="Verdana"/>
          <w:lang w:val="bg-BG"/>
        </w:rPr>
        <w:t>флуорсъдържащи</w:t>
      </w:r>
      <w:proofErr w:type="spellEnd"/>
      <w:r w:rsidRPr="0005364D">
        <w:rPr>
          <w:rFonts w:ascii="Verdana" w:hAnsi="Verdana"/>
          <w:lang w:val="bg-BG"/>
        </w:rPr>
        <w:t xml:space="preserve"> парникови газове в срока до 31.03.2026 г.</w:t>
      </w:r>
    </w:p>
    <w:p w:rsidR="00045408" w:rsidRPr="0005364D" w:rsidRDefault="00045408" w:rsidP="00045408">
      <w:pPr>
        <w:jc w:val="both"/>
        <w:rPr>
          <w:rFonts w:ascii="Verdana" w:hAnsi="Verdana"/>
          <w:lang w:val="bg-BG"/>
        </w:rPr>
      </w:pPr>
    </w:p>
    <w:p w:rsidR="00354A0B" w:rsidRPr="0005364D" w:rsidRDefault="00354A0B" w:rsidP="00045408">
      <w:pPr>
        <w:jc w:val="both"/>
        <w:rPr>
          <w:rFonts w:ascii="Verdana" w:hAnsi="Verdana"/>
          <w:bCs/>
          <w:lang w:val="bg-BG"/>
        </w:rPr>
      </w:pPr>
    </w:p>
    <w:p w:rsidR="00354A0B" w:rsidRPr="0005364D" w:rsidRDefault="00354A0B" w:rsidP="00354A0B">
      <w:p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color w:val="121314"/>
          <w:lang w:val="bg-BG"/>
        </w:rPr>
      </w:pPr>
    </w:p>
    <w:p w:rsidR="00045408" w:rsidRPr="0005364D" w:rsidRDefault="00E471F8" w:rsidP="00E471F8">
      <w:pPr>
        <w:pStyle w:val="ad"/>
        <w:numPr>
          <w:ilvl w:val="0"/>
          <w:numId w:val="3"/>
        </w:numPr>
        <w:jc w:val="both"/>
        <w:rPr>
          <w:rFonts w:ascii="Verdana" w:hAnsi="Verdana"/>
          <w:bCs/>
          <w:color w:val="121314"/>
          <w:lang w:val="bg-BG"/>
        </w:rPr>
      </w:pPr>
      <w:r w:rsidRPr="0005364D">
        <w:rPr>
          <w:rFonts w:ascii="Verdana" w:hAnsi="Verdana"/>
          <w:b/>
          <w:lang w:val="bg-BG"/>
        </w:rPr>
        <w:t>Компонент „Води“ – отпадъчни</w:t>
      </w:r>
    </w:p>
    <w:p w:rsidR="00E471F8" w:rsidRPr="0005364D" w:rsidRDefault="00E471F8" w:rsidP="00E471F8">
      <w:pPr>
        <w:pStyle w:val="ad"/>
        <w:ind w:left="645"/>
        <w:jc w:val="both"/>
        <w:rPr>
          <w:rStyle w:val="ab"/>
          <w:rFonts w:ascii="Verdana" w:hAnsi="Verdana"/>
          <w:b w:val="0"/>
          <w:color w:val="121314"/>
          <w:lang w:val="bg-BG"/>
        </w:rPr>
      </w:pPr>
    </w:p>
    <w:p w:rsidR="00E471F8" w:rsidRPr="0005364D" w:rsidRDefault="00E471F8" w:rsidP="00707227">
      <w:pPr>
        <w:ind w:firstLine="645"/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>Формираните битово-</w:t>
      </w:r>
      <w:proofErr w:type="spellStart"/>
      <w:r w:rsidRPr="0005364D">
        <w:rPr>
          <w:rFonts w:ascii="Verdana" w:hAnsi="Verdana"/>
          <w:lang w:val="bg-BG"/>
        </w:rPr>
        <w:t>фекални</w:t>
      </w:r>
      <w:proofErr w:type="spellEnd"/>
      <w:r w:rsidRPr="0005364D">
        <w:rPr>
          <w:rFonts w:ascii="Verdana" w:hAnsi="Verdana"/>
          <w:lang w:val="bg-BG"/>
        </w:rPr>
        <w:t xml:space="preserve"> и производствени отпадъчни води </w:t>
      </w:r>
      <w:proofErr w:type="spellStart"/>
      <w:r w:rsidRPr="0005364D">
        <w:rPr>
          <w:rFonts w:ascii="Verdana" w:hAnsi="Verdana"/>
          <w:lang w:val="bg-BG"/>
        </w:rPr>
        <w:t>заустват</w:t>
      </w:r>
      <w:proofErr w:type="spellEnd"/>
      <w:r w:rsidRPr="0005364D">
        <w:rPr>
          <w:rFonts w:ascii="Verdana" w:hAnsi="Verdana"/>
          <w:lang w:val="bg-BG"/>
        </w:rPr>
        <w:t xml:space="preserve"> в градската канализационна система на град Карлово на основание договор с „Водоснабдяване и канализация“ ЕООД, град Пловдив. Представен е </w:t>
      </w:r>
      <w:proofErr w:type="spellStart"/>
      <w:r w:rsidRPr="0005364D">
        <w:rPr>
          <w:rFonts w:ascii="Verdana" w:hAnsi="Verdana"/>
          <w:lang w:val="bg-BG"/>
        </w:rPr>
        <w:t>прптокол</w:t>
      </w:r>
      <w:proofErr w:type="spellEnd"/>
      <w:r w:rsidRPr="0005364D">
        <w:rPr>
          <w:rFonts w:ascii="Verdana" w:hAnsi="Verdana"/>
          <w:lang w:val="bg-BG"/>
        </w:rPr>
        <w:t xml:space="preserve"> с резултати от анализи на взета от ВиК-оператора проба за анализ от РШ на изход обекта преди </w:t>
      </w:r>
      <w:proofErr w:type="spellStart"/>
      <w:r w:rsidRPr="0005364D">
        <w:rPr>
          <w:rFonts w:ascii="Verdana" w:hAnsi="Verdana"/>
          <w:lang w:val="bg-BG"/>
        </w:rPr>
        <w:t>заустване</w:t>
      </w:r>
      <w:proofErr w:type="spellEnd"/>
      <w:r w:rsidRPr="0005364D">
        <w:rPr>
          <w:rFonts w:ascii="Verdana" w:hAnsi="Verdana"/>
          <w:lang w:val="bg-BG"/>
        </w:rPr>
        <w:t xml:space="preserve"> в клон на канализационната мрежа, от които е установено, че обектът е причислен към първа степен замърсител.</w:t>
      </w:r>
    </w:p>
    <w:p w:rsidR="00354A0B" w:rsidRPr="0005364D" w:rsidRDefault="00354A0B" w:rsidP="00E471F8">
      <w:pPr>
        <w:tabs>
          <w:tab w:val="left" w:pos="284"/>
        </w:tabs>
        <w:spacing w:line="276" w:lineRule="auto"/>
        <w:jc w:val="both"/>
        <w:rPr>
          <w:rFonts w:ascii="Verdana" w:hAnsi="Verdana"/>
          <w:lang w:val="bg-BG"/>
        </w:rPr>
      </w:pPr>
    </w:p>
    <w:p w:rsidR="0092754C" w:rsidRPr="0005364D" w:rsidRDefault="0092754C" w:rsidP="0092754C">
      <w:pPr>
        <w:pStyle w:val="ad"/>
        <w:numPr>
          <w:ilvl w:val="0"/>
          <w:numId w:val="3"/>
        </w:numPr>
        <w:jc w:val="both"/>
        <w:rPr>
          <w:rFonts w:ascii="Verdana" w:hAnsi="Verdana"/>
          <w:b/>
          <w:lang w:val="bg-BG"/>
        </w:rPr>
      </w:pPr>
      <w:r w:rsidRPr="0005364D">
        <w:rPr>
          <w:rFonts w:ascii="Verdana" w:hAnsi="Verdana"/>
          <w:b/>
          <w:lang w:val="bg-BG"/>
        </w:rPr>
        <w:t xml:space="preserve">Фактор „Отпадъци“ </w:t>
      </w:r>
    </w:p>
    <w:p w:rsidR="0092754C" w:rsidRPr="0005364D" w:rsidRDefault="0092754C" w:rsidP="0092754C">
      <w:pPr>
        <w:pStyle w:val="ad"/>
        <w:spacing w:line="276" w:lineRule="auto"/>
        <w:ind w:left="645"/>
        <w:jc w:val="both"/>
        <w:rPr>
          <w:rFonts w:ascii="Verdana" w:hAnsi="Verdana"/>
          <w:lang w:val="bg-BG"/>
        </w:rPr>
      </w:pPr>
    </w:p>
    <w:p w:rsidR="00707227" w:rsidRPr="0005364D" w:rsidRDefault="00707227" w:rsidP="00707227">
      <w:pPr>
        <w:ind w:firstLine="645"/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 xml:space="preserve">На площадката е изградено локално пречиствателно съоръжение с анаеробно стъпало за дълбочинна преработка на </w:t>
      </w:r>
      <w:proofErr w:type="spellStart"/>
      <w:r w:rsidRPr="0005364D">
        <w:rPr>
          <w:rFonts w:ascii="Verdana" w:hAnsi="Verdana"/>
          <w:lang w:val="bg-BG"/>
        </w:rPr>
        <w:t>измивни</w:t>
      </w:r>
      <w:proofErr w:type="spellEnd"/>
      <w:r w:rsidRPr="0005364D">
        <w:rPr>
          <w:rFonts w:ascii="Verdana" w:hAnsi="Verdana"/>
          <w:lang w:val="bg-BG"/>
        </w:rPr>
        <w:t xml:space="preserve"> и битови води, цвик и суроватка и производство на биогаз. За извършване на дейност по третиране на отпадъци, дружеството притежава издаден от Директора на РИОСВ-Пловдив, регистрационен документ за извършване на дейности по третиране на отпадъци с разрешени дейности </w:t>
      </w:r>
      <w:r w:rsidRPr="0005364D">
        <w:rPr>
          <w:rFonts w:ascii="Verdana" w:hAnsi="Verdana"/>
        </w:rPr>
        <w:t>R</w:t>
      </w:r>
      <w:r w:rsidRPr="0005364D">
        <w:rPr>
          <w:rFonts w:ascii="Verdana" w:hAnsi="Verdana"/>
          <w:lang w:val="bg-BG"/>
        </w:rPr>
        <w:t xml:space="preserve">3 и </w:t>
      </w:r>
      <w:r w:rsidRPr="0005364D">
        <w:rPr>
          <w:rFonts w:ascii="Verdana" w:hAnsi="Verdana"/>
        </w:rPr>
        <w:t>R</w:t>
      </w:r>
      <w:r w:rsidRPr="0005364D">
        <w:rPr>
          <w:rFonts w:ascii="Verdana" w:hAnsi="Verdana"/>
          <w:lang w:val="bg-BG"/>
        </w:rPr>
        <w:t xml:space="preserve">12. За образуваните от дейността производствени отпадъци е извършена класификация и дружеството притежава утвърдени от Директора на РИОСВ – Пловдив работни листове за класификация на отпадъците. Отчетността се води съгласно изискванията на Наредба   № 1/2014 г. в НИСО редовно и коректно по всички приложения, касаещи дейността на площадката. Годишните отчети за дейностите по отпадъците за 2025 г. са в статус „подписани“ в НИСО. При извършения обход на място се установи, че производствената площадка е с изградена инфраструктура -  бетонирана, оградена, охраняема,  обособени са места и съдове за временно съхранение на образуваните от дейността отпадъците, обозначени с табели за съответния код според техния вид и произход, до предаването им на лица притежаващи документ съгласно чл. 35 от ЗУО. Дружеството притежава сключени договори за предаване на генерираните от дейността отпадъци за последващо третиране с лица притежаващи документ по чл. 35 от ЗУО. „Ем Джей </w:t>
      </w:r>
      <w:proofErr w:type="spellStart"/>
      <w:r w:rsidRPr="0005364D">
        <w:rPr>
          <w:rFonts w:ascii="Verdana" w:hAnsi="Verdana"/>
          <w:lang w:val="bg-BG"/>
        </w:rPr>
        <w:t>Дериз</w:t>
      </w:r>
      <w:proofErr w:type="spellEnd"/>
      <w:r w:rsidRPr="0005364D">
        <w:rPr>
          <w:rFonts w:ascii="Verdana" w:hAnsi="Verdana"/>
          <w:lang w:val="bg-BG"/>
        </w:rPr>
        <w:t>” ЕООД пуска на пазара опакована стока на българския пазар, след употребата на която се образуват масово разпространени отпадъци от опаковки. Представи се договор с организация по оползотворяване на отпадъци от опаковки, както и удостоверение, издадено от нея в уверение на това, че дружеството участва в колективна система, по чл. 14, ал. 2, т. 2 от ЗУО с валидност до 31.12.2027 г. Представиха се месечни справки – декларации, изготвени съгласно приложение № 15 от Наредбата за определяне на реда и размера за заплащане на продуктова такса (</w:t>
      </w:r>
      <w:proofErr w:type="spellStart"/>
      <w:r w:rsidRPr="0005364D">
        <w:rPr>
          <w:rFonts w:ascii="Verdana" w:hAnsi="Verdana"/>
          <w:lang w:val="bg-BG"/>
        </w:rPr>
        <w:t>Обн</w:t>
      </w:r>
      <w:proofErr w:type="spellEnd"/>
      <w:r w:rsidRPr="0005364D">
        <w:rPr>
          <w:rFonts w:ascii="Verdana" w:hAnsi="Verdana"/>
          <w:lang w:val="bg-BG"/>
        </w:rPr>
        <w:t>. ДВ. бр.30 от 15 Април 2016г., изм. и доп.).</w:t>
      </w:r>
    </w:p>
    <w:p w:rsidR="00707227" w:rsidRPr="0005364D" w:rsidRDefault="00707227" w:rsidP="00707227">
      <w:pPr>
        <w:ind w:firstLine="645"/>
        <w:jc w:val="both"/>
        <w:rPr>
          <w:rFonts w:ascii="Verdana" w:hAnsi="Verdana"/>
          <w:lang w:val="bg-BG"/>
        </w:rPr>
      </w:pPr>
    </w:p>
    <w:p w:rsidR="00707227" w:rsidRPr="0005364D" w:rsidRDefault="00707227" w:rsidP="00707227">
      <w:pPr>
        <w:pStyle w:val="ad"/>
        <w:numPr>
          <w:ilvl w:val="0"/>
          <w:numId w:val="3"/>
        </w:numPr>
        <w:jc w:val="both"/>
        <w:rPr>
          <w:rFonts w:ascii="Verdana" w:hAnsi="Verdana"/>
          <w:b/>
          <w:lang w:val="bg-BG"/>
        </w:rPr>
      </w:pPr>
      <w:r w:rsidRPr="0005364D">
        <w:rPr>
          <w:rFonts w:ascii="Verdana" w:hAnsi="Verdana"/>
          <w:b/>
          <w:lang w:val="bg-BG"/>
        </w:rPr>
        <w:t xml:space="preserve">Фактор „Екологична отговорност“ </w:t>
      </w:r>
    </w:p>
    <w:p w:rsidR="00707227" w:rsidRPr="0005364D" w:rsidRDefault="00707227" w:rsidP="00707227">
      <w:pPr>
        <w:ind w:firstLine="645"/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 xml:space="preserve">Дружеството извършва дейности попадащи в точка 3 и точка 4 на Приложение №1 на Закона за отговорността за предотвратяване и отстраняване на екологични щети (ЗОПОЕЩ), а именно: </w:t>
      </w:r>
    </w:p>
    <w:p w:rsidR="00707227" w:rsidRPr="0005364D" w:rsidRDefault="00707227" w:rsidP="00707227">
      <w:pPr>
        <w:numPr>
          <w:ilvl w:val="0"/>
          <w:numId w:val="6"/>
        </w:numPr>
        <w:jc w:val="both"/>
        <w:rPr>
          <w:rFonts w:ascii="Verdana" w:hAnsi="Verdana"/>
          <w:lang w:val="bg-BG"/>
        </w:rPr>
      </w:pPr>
      <w:proofErr w:type="spellStart"/>
      <w:r w:rsidRPr="0005364D">
        <w:rPr>
          <w:rFonts w:ascii="Verdana" w:hAnsi="Verdana"/>
          <w:lang w:val="bg-BG"/>
        </w:rPr>
        <w:t>Водовземане</w:t>
      </w:r>
      <w:proofErr w:type="spellEnd"/>
      <w:r w:rsidRPr="0005364D">
        <w:rPr>
          <w:rFonts w:ascii="Verdana" w:hAnsi="Verdana"/>
          <w:lang w:val="bg-BG"/>
        </w:rPr>
        <w:t xml:space="preserve"> от тръбни кладенци – 1 броя на основание Разрешително за </w:t>
      </w:r>
      <w:proofErr w:type="spellStart"/>
      <w:r w:rsidRPr="0005364D">
        <w:rPr>
          <w:rFonts w:ascii="Verdana" w:hAnsi="Verdana"/>
          <w:lang w:val="bg-BG"/>
        </w:rPr>
        <w:t>водовземане</w:t>
      </w:r>
      <w:proofErr w:type="spellEnd"/>
      <w:r w:rsidRPr="0005364D">
        <w:rPr>
          <w:rFonts w:ascii="Verdana" w:hAnsi="Verdana"/>
          <w:lang w:val="bg-BG"/>
        </w:rPr>
        <w:t xml:space="preserve"> повърхностен воден обект на основание Разрешително за ползване на повърхностен воден обект, издадени по реда на Закона за водите от БД ИБР-Пловдив.  </w:t>
      </w:r>
      <w:proofErr w:type="spellStart"/>
      <w:r w:rsidRPr="0005364D">
        <w:rPr>
          <w:rFonts w:ascii="Verdana" w:hAnsi="Verdana"/>
          <w:lang w:val="bg-BG"/>
        </w:rPr>
        <w:t>Заустването</w:t>
      </w:r>
      <w:proofErr w:type="spellEnd"/>
      <w:r w:rsidRPr="0005364D">
        <w:rPr>
          <w:rFonts w:ascii="Verdana" w:hAnsi="Verdana"/>
          <w:lang w:val="bg-BG"/>
        </w:rPr>
        <w:t xml:space="preserve"> се извършва в канализационна система на база сключен договор с В и К</w:t>
      </w:r>
    </w:p>
    <w:p w:rsidR="00707227" w:rsidRPr="0005364D" w:rsidRDefault="00707227" w:rsidP="00707227">
      <w:pPr>
        <w:numPr>
          <w:ilvl w:val="0"/>
          <w:numId w:val="6"/>
        </w:num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 xml:space="preserve">Съхранение на природна газ за нуждите на котелна централа. Съхранението се извършва в групова бутилкова инсталация за </w:t>
      </w:r>
      <w:r w:rsidRPr="0005364D">
        <w:rPr>
          <w:rFonts w:ascii="Verdana" w:hAnsi="Verdana"/>
        </w:rPr>
        <w:t xml:space="preserve">CNG </w:t>
      </w:r>
      <w:r w:rsidRPr="0005364D">
        <w:rPr>
          <w:rFonts w:ascii="Verdana" w:hAnsi="Verdana"/>
          <w:lang w:val="bg-BG"/>
        </w:rPr>
        <w:t xml:space="preserve">в 2 бр. платформи, общ обем 5000 литра. </w:t>
      </w:r>
    </w:p>
    <w:p w:rsidR="00707227" w:rsidRPr="0005364D" w:rsidRDefault="00707227" w:rsidP="00707227">
      <w:p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 xml:space="preserve">При извършената проверка  е представена Собствена оценка за възможни случаи на непосредствена заплаха за екологични щети и на случаи на причинени екологични щети от 14.09.2021 г. </w:t>
      </w:r>
    </w:p>
    <w:p w:rsidR="00707227" w:rsidRPr="0005364D" w:rsidRDefault="00707227" w:rsidP="00707227">
      <w:pPr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 xml:space="preserve">При извършената проверка се направи обход извън границите на площадката, при който не се констатира замърсяване в съседните терени. </w:t>
      </w:r>
    </w:p>
    <w:p w:rsidR="0092754C" w:rsidRPr="0005364D" w:rsidRDefault="0092754C" w:rsidP="00707227">
      <w:pPr>
        <w:pStyle w:val="ad"/>
        <w:spacing w:line="276" w:lineRule="auto"/>
        <w:ind w:left="645"/>
        <w:jc w:val="both"/>
        <w:rPr>
          <w:rFonts w:ascii="Verdana" w:hAnsi="Verdana"/>
          <w:lang w:val="bg-BG"/>
        </w:rPr>
      </w:pPr>
    </w:p>
    <w:p w:rsidR="0092754C" w:rsidRPr="0005364D" w:rsidRDefault="0092754C" w:rsidP="0092754C">
      <w:pPr>
        <w:pStyle w:val="ad"/>
        <w:spacing w:line="276" w:lineRule="auto"/>
        <w:ind w:left="645"/>
        <w:jc w:val="both"/>
        <w:rPr>
          <w:rFonts w:ascii="Verdana" w:hAnsi="Verdana"/>
          <w:lang w:val="bg-BG"/>
        </w:rPr>
      </w:pPr>
    </w:p>
    <w:p w:rsidR="00354A0B" w:rsidRPr="0005364D" w:rsidRDefault="00354A0B" w:rsidP="00354A0B">
      <w:pPr>
        <w:spacing w:line="276" w:lineRule="auto"/>
        <w:jc w:val="both"/>
        <w:rPr>
          <w:rFonts w:ascii="Verdana" w:hAnsi="Verdana"/>
          <w:b/>
          <w:bCs/>
          <w:iCs/>
          <w:color w:val="121314"/>
          <w:lang w:val="bg-BG"/>
        </w:rPr>
      </w:pPr>
      <w:r w:rsidRPr="0005364D">
        <w:rPr>
          <w:rFonts w:ascii="Verdana" w:hAnsi="Verdana"/>
          <w:b/>
          <w:bCs/>
          <w:iCs/>
          <w:color w:val="121314"/>
          <w:lang w:val="bg-BG"/>
        </w:rPr>
        <w:t xml:space="preserve">IV. Предписания, срокове за изпълнение, отговорници: </w:t>
      </w:r>
    </w:p>
    <w:p w:rsidR="00354A0B" w:rsidRPr="0005364D" w:rsidRDefault="00354A0B" w:rsidP="00354A0B">
      <w:pPr>
        <w:spacing w:line="276" w:lineRule="auto"/>
        <w:jc w:val="both"/>
        <w:rPr>
          <w:rFonts w:ascii="Verdana" w:hAnsi="Verdana"/>
          <w:bCs/>
          <w:iCs/>
          <w:color w:val="121314"/>
          <w:lang w:val="bg-BG"/>
        </w:rPr>
      </w:pPr>
      <w:r w:rsidRPr="0005364D">
        <w:rPr>
          <w:rFonts w:ascii="Verdana" w:hAnsi="Verdana"/>
          <w:bCs/>
          <w:iCs/>
          <w:color w:val="121314"/>
          <w:lang w:val="bg-BG"/>
        </w:rPr>
        <w:t>При извършената проверка са дадени  предписания</w:t>
      </w:r>
      <w:r w:rsidR="00493BCB" w:rsidRPr="0005364D">
        <w:rPr>
          <w:rFonts w:ascii="Verdana" w:hAnsi="Verdana"/>
          <w:bCs/>
          <w:iCs/>
          <w:color w:val="121314"/>
          <w:lang w:val="bg-BG"/>
        </w:rPr>
        <w:t>, част от които са изпълнени</w:t>
      </w:r>
      <w:r w:rsidR="003C2346">
        <w:rPr>
          <w:rFonts w:ascii="Verdana" w:hAnsi="Verdana"/>
          <w:bCs/>
          <w:iCs/>
          <w:color w:val="121314"/>
          <w:lang w:val="bg-BG"/>
        </w:rPr>
        <w:t>, друга част са с по-дълъг срок на изпълнение и за тях ще бъде осъществен последващ контрол</w:t>
      </w:r>
      <w:bookmarkStart w:id="0" w:name="_GoBack"/>
      <w:bookmarkEnd w:id="0"/>
      <w:r w:rsidRPr="0005364D">
        <w:rPr>
          <w:rFonts w:ascii="Verdana" w:hAnsi="Verdana"/>
          <w:bCs/>
          <w:iCs/>
          <w:color w:val="121314"/>
          <w:lang w:val="bg-BG"/>
        </w:rPr>
        <w:t>.</w:t>
      </w:r>
    </w:p>
    <w:p w:rsidR="00354A0B" w:rsidRPr="0005364D" w:rsidRDefault="00354A0B" w:rsidP="00354A0B">
      <w:pPr>
        <w:spacing w:line="276" w:lineRule="auto"/>
        <w:jc w:val="both"/>
        <w:rPr>
          <w:rFonts w:ascii="Verdana" w:hAnsi="Verdana"/>
          <w:bCs/>
          <w:i/>
          <w:iCs/>
          <w:color w:val="121314"/>
          <w:lang w:val="bg-BG"/>
        </w:rPr>
      </w:pPr>
    </w:p>
    <w:p w:rsidR="00354A0B" w:rsidRPr="0005364D" w:rsidRDefault="00354A0B" w:rsidP="00354A0B">
      <w:pPr>
        <w:spacing w:line="276" w:lineRule="auto"/>
        <w:jc w:val="both"/>
        <w:rPr>
          <w:rFonts w:ascii="Verdana" w:hAnsi="Verdana"/>
          <w:b/>
          <w:bCs/>
          <w:iCs/>
          <w:color w:val="121314"/>
          <w:lang w:val="bg-BG"/>
        </w:rPr>
      </w:pPr>
      <w:r w:rsidRPr="0005364D">
        <w:rPr>
          <w:rFonts w:ascii="Verdana" w:hAnsi="Verdana"/>
          <w:b/>
          <w:bCs/>
          <w:iCs/>
          <w:color w:val="121314"/>
          <w:lang w:val="bg-BG"/>
        </w:rPr>
        <w:t xml:space="preserve">V. Съответствие, последващ контрол: </w:t>
      </w:r>
    </w:p>
    <w:p w:rsidR="00354A0B" w:rsidRPr="0005364D" w:rsidRDefault="00354A0B" w:rsidP="00354A0B">
      <w:pPr>
        <w:spacing w:line="276" w:lineRule="auto"/>
        <w:jc w:val="both"/>
        <w:rPr>
          <w:rFonts w:ascii="Verdana" w:hAnsi="Verdana"/>
          <w:bCs/>
          <w:i/>
          <w:iCs/>
          <w:color w:val="121314"/>
          <w:lang w:val="bg-BG"/>
        </w:rPr>
      </w:pPr>
      <w:r w:rsidRPr="0005364D">
        <w:rPr>
          <w:rFonts w:ascii="Verdana" w:hAnsi="Verdana"/>
          <w:bCs/>
          <w:iCs/>
          <w:color w:val="121314"/>
          <w:lang w:val="bg-BG"/>
        </w:rPr>
        <w:t>При извършената проверка не са установени нарушения</w:t>
      </w:r>
      <w:r w:rsidRPr="0005364D">
        <w:rPr>
          <w:rFonts w:ascii="Verdana" w:hAnsi="Verdana"/>
          <w:lang w:val="bg-BG"/>
        </w:rPr>
        <w:t xml:space="preserve"> на екологичното законодателство по проверяваните компоненти и фактори на въздействие. </w:t>
      </w:r>
    </w:p>
    <w:p w:rsidR="00354A0B" w:rsidRPr="0005364D" w:rsidRDefault="00354A0B" w:rsidP="00354A0B">
      <w:pPr>
        <w:spacing w:line="276" w:lineRule="auto"/>
        <w:jc w:val="both"/>
        <w:rPr>
          <w:rFonts w:ascii="Verdana" w:hAnsi="Verdana"/>
          <w:i/>
          <w:lang w:val="bg-BG"/>
        </w:rPr>
      </w:pPr>
      <w:r w:rsidRPr="0005364D">
        <w:rPr>
          <w:rFonts w:ascii="Verdana" w:hAnsi="Verdana"/>
          <w:lang w:val="bg-BG"/>
        </w:rPr>
        <w:t xml:space="preserve"> </w:t>
      </w:r>
    </w:p>
    <w:p w:rsidR="00354A0B" w:rsidRPr="0005364D" w:rsidRDefault="00354A0B" w:rsidP="00354A0B">
      <w:pPr>
        <w:spacing w:line="276" w:lineRule="auto"/>
        <w:jc w:val="both"/>
        <w:rPr>
          <w:rFonts w:ascii="Verdana" w:hAnsi="Verdana"/>
          <w:lang w:val="bg-BG"/>
        </w:rPr>
      </w:pPr>
      <w:r w:rsidRPr="0005364D">
        <w:rPr>
          <w:rFonts w:ascii="Verdana" w:hAnsi="Verdana"/>
          <w:lang w:val="bg-BG"/>
        </w:rPr>
        <w:t xml:space="preserve">От страна на дружеството при проверката присъства </w:t>
      </w:r>
      <w:r w:rsidR="0005364D" w:rsidRPr="0005364D">
        <w:rPr>
          <w:rFonts w:ascii="Verdana" w:hAnsi="Verdana"/>
          <w:lang w:val="bg-BG"/>
        </w:rPr>
        <w:t>директор предп</w:t>
      </w:r>
      <w:r w:rsidR="0005364D">
        <w:rPr>
          <w:rFonts w:ascii="Verdana" w:hAnsi="Verdana"/>
          <w:lang w:val="bg-BG"/>
        </w:rPr>
        <w:t>р</w:t>
      </w:r>
      <w:r w:rsidR="0005364D" w:rsidRPr="0005364D">
        <w:rPr>
          <w:rFonts w:ascii="Verdana" w:hAnsi="Verdana"/>
          <w:lang w:val="bg-BG"/>
        </w:rPr>
        <w:t>иятие</w:t>
      </w:r>
    </w:p>
    <w:p w:rsidR="00354A0B" w:rsidRPr="0005364D" w:rsidRDefault="00354A0B" w:rsidP="00354A0B">
      <w:pPr>
        <w:spacing w:line="276" w:lineRule="auto"/>
        <w:jc w:val="both"/>
        <w:rPr>
          <w:rFonts w:ascii="Verdana" w:hAnsi="Verdana"/>
          <w:lang w:val="bg-BG"/>
        </w:rPr>
      </w:pPr>
    </w:p>
    <w:p w:rsidR="00354A0B" w:rsidRPr="0005364D" w:rsidRDefault="00354A0B" w:rsidP="00354A0B">
      <w:pPr>
        <w:spacing w:line="276" w:lineRule="auto"/>
        <w:ind w:firstLine="426"/>
        <w:jc w:val="both"/>
        <w:rPr>
          <w:rFonts w:ascii="Verdana" w:hAnsi="Verdana"/>
          <w:lang w:val="bg-BG"/>
        </w:rPr>
      </w:pPr>
    </w:p>
    <w:p w:rsidR="00254D0B" w:rsidRPr="0005364D" w:rsidRDefault="00254D0B" w:rsidP="00354A0B">
      <w:pPr>
        <w:jc w:val="both"/>
        <w:rPr>
          <w:rFonts w:ascii="Verdana" w:hAnsi="Verdana"/>
          <w:i/>
          <w:lang w:val="bg-BG"/>
        </w:rPr>
      </w:pPr>
    </w:p>
    <w:sectPr w:rsidR="00254D0B" w:rsidRPr="0005364D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354A0B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354A0B">
      <w:rPr>
        <w:rFonts w:ascii="Helen Bg Condensed" w:hAnsi="Helen Bg Condensed"/>
        <w:spacing w:val="40"/>
        <w:sz w:val="30"/>
        <w:szCs w:val="30"/>
      </w:rPr>
      <w:t xml:space="preserve">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344E" w:rsidRDefault="006B0B9A" w:rsidP="00354A0B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4B28"/>
    <w:multiLevelType w:val="hybridMultilevel"/>
    <w:tmpl w:val="B6C89F8C"/>
    <w:lvl w:ilvl="0" w:tplc="E056F962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2B1C138B"/>
    <w:multiLevelType w:val="hybridMultilevel"/>
    <w:tmpl w:val="295ACBFC"/>
    <w:lvl w:ilvl="0" w:tplc="C318E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91E30"/>
    <w:multiLevelType w:val="hybridMultilevel"/>
    <w:tmpl w:val="82B86274"/>
    <w:lvl w:ilvl="0" w:tplc="D77E7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7D957F0A"/>
    <w:multiLevelType w:val="hybridMultilevel"/>
    <w:tmpl w:val="0B88D7F4"/>
    <w:lvl w:ilvl="0" w:tplc="F656D9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DB3"/>
    <w:rsid w:val="0000306F"/>
    <w:rsid w:val="000316D9"/>
    <w:rsid w:val="000415D7"/>
    <w:rsid w:val="00043B6D"/>
    <w:rsid w:val="00045408"/>
    <w:rsid w:val="0005364D"/>
    <w:rsid w:val="00066AA2"/>
    <w:rsid w:val="0007528F"/>
    <w:rsid w:val="000F75F2"/>
    <w:rsid w:val="001073F0"/>
    <w:rsid w:val="001149EF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26B4"/>
    <w:rsid w:val="001F3635"/>
    <w:rsid w:val="0020653E"/>
    <w:rsid w:val="00214AC3"/>
    <w:rsid w:val="00233451"/>
    <w:rsid w:val="0024120B"/>
    <w:rsid w:val="002501B0"/>
    <w:rsid w:val="00254D0B"/>
    <w:rsid w:val="00266D04"/>
    <w:rsid w:val="00273B72"/>
    <w:rsid w:val="002B7809"/>
    <w:rsid w:val="002C252C"/>
    <w:rsid w:val="002E25EF"/>
    <w:rsid w:val="002F0262"/>
    <w:rsid w:val="003106F6"/>
    <w:rsid w:val="00324274"/>
    <w:rsid w:val="0034511F"/>
    <w:rsid w:val="00351BBE"/>
    <w:rsid w:val="00354A0B"/>
    <w:rsid w:val="003A08E0"/>
    <w:rsid w:val="003B6BFE"/>
    <w:rsid w:val="003C2346"/>
    <w:rsid w:val="003D295E"/>
    <w:rsid w:val="00421337"/>
    <w:rsid w:val="00442A73"/>
    <w:rsid w:val="00446795"/>
    <w:rsid w:val="00462ED5"/>
    <w:rsid w:val="004802A4"/>
    <w:rsid w:val="00493BCB"/>
    <w:rsid w:val="004B7D22"/>
    <w:rsid w:val="004C3144"/>
    <w:rsid w:val="004F765C"/>
    <w:rsid w:val="00516DAD"/>
    <w:rsid w:val="00545E5B"/>
    <w:rsid w:val="0057056E"/>
    <w:rsid w:val="00582663"/>
    <w:rsid w:val="0059375A"/>
    <w:rsid w:val="005A3B17"/>
    <w:rsid w:val="005A4A7A"/>
    <w:rsid w:val="005B561D"/>
    <w:rsid w:val="005B69F7"/>
    <w:rsid w:val="005C2BBF"/>
    <w:rsid w:val="005D7788"/>
    <w:rsid w:val="005F5E28"/>
    <w:rsid w:val="00602A0B"/>
    <w:rsid w:val="00616DCB"/>
    <w:rsid w:val="006340C8"/>
    <w:rsid w:val="00661C46"/>
    <w:rsid w:val="006A421B"/>
    <w:rsid w:val="006A6565"/>
    <w:rsid w:val="006B0B9A"/>
    <w:rsid w:val="006C6326"/>
    <w:rsid w:val="006D21A3"/>
    <w:rsid w:val="006E1608"/>
    <w:rsid w:val="00707227"/>
    <w:rsid w:val="00714D69"/>
    <w:rsid w:val="0072407F"/>
    <w:rsid w:val="00735898"/>
    <w:rsid w:val="007719EF"/>
    <w:rsid w:val="00772848"/>
    <w:rsid w:val="00776E91"/>
    <w:rsid w:val="007A07E7"/>
    <w:rsid w:val="007A6290"/>
    <w:rsid w:val="007A7B40"/>
    <w:rsid w:val="007B6DFE"/>
    <w:rsid w:val="007D0F7F"/>
    <w:rsid w:val="008338D4"/>
    <w:rsid w:val="00842F0C"/>
    <w:rsid w:val="0085348A"/>
    <w:rsid w:val="00860390"/>
    <w:rsid w:val="0088526F"/>
    <w:rsid w:val="0089514A"/>
    <w:rsid w:val="00896594"/>
    <w:rsid w:val="008A0444"/>
    <w:rsid w:val="008A3D46"/>
    <w:rsid w:val="008B0206"/>
    <w:rsid w:val="008B1300"/>
    <w:rsid w:val="008D3875"/>
    <w:rsid w:val="008D749E"/>
    <w:rsid w:val="00903E8B"/>
    <w:rsid w:val="00907501"/>
    <w:rsid w:val="0092754C"/>
    <w:rsid w:val="0093612F"/>
    <w:rsid w:val="00936425"/>
    <w:rsid w:val="00945275"/>
    <w:rsid w:val="00946D85"/>
    <w:rsid w:val="00955648"/>
    <w:rsid w:val="009712DB"/>
    <w:rsid w:val="00973C05"/>
    <w:rsid w:val="00974546"/>
    <w:rsid w:val="009A49E5"/>
    <w:rsid w:val="009A67C8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92E12"/>
    <w:rsid w:val="00AD0F0E"/>
    <w:rsid w:val="00AD11C4"/>
    <w:rsid w:val="00AD13E8"/>
    <w:rsid w:val="00B0052C"/>
    <w:rsid w:val="00B06A2A"/>
    <w:rsid w:val="00B11347"/>
    <w:rsid w:val="00B17E9C"/>
    <w:rsid w:val="00B27B64"/>
    <w:rsid w:val="00B373AA"/>
    <w:rsid w:val="00B76562"/>
    <w:rsid w:val="00BC16C9"/>
    <w:rsid w:val="00BF4E39"/>
    <w:rsid w:val="00C00904"/>
    <w:rsid w:val="00C02136"/>
    <w:rsid w:val="00C36910"/>
    <w:rsid w:val="00C473A4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1219F"/>
    <w:rsid w:val="00D259F5"/>
    <w:rsid w:val="00D450FA"/>
    <w:rsid w:val="00D530CC"/>
    <w:rsid w:val="00D61AE4"/>
    <w:rsid w:val="00D63107"/>
    <w:rsid w:val="00D7472F"/>
    <w:rsid w:val="00D93AB6"/>
    <w:rsid w:val="00D95489"/>
    <w:rsid w:val="00DB20FC"/>
    <w:rsid w:val="00DC60E0"/>
    <w:rsid w:val="00DE1749"/>
    <w:rsid w:val="00DF43B6"/>
    <w:rsid w:val="00E344E2"/>
    <w:rsid w:val="00E471F8"/>
    <w:rsid w:val="00E8208C"/>
    <w:rsid w:val="00EA3B1F"/>
    <w:rsid w:val="00EB0DBD"/>
    <w:rsid w:val="00EB1B62"/>
    <w:rsid w:val="00EB63EB"/>
    <w:rsid w:val="00EC304D"/>
    <w:rsid w:val="00ED1377"/>
    <w:rsid w:val="00F13964"/>
    <w:rsid w:val="00F54142"/>
    <w:rsid w:val="00F66C88"/>
    <w:rsid w:val="00F72CF1"/>
    <w:rsid w:val="00F74415"/>
    <w:rsid w:val="00F81521"/>
    <w:rsid w:val="00F9199A"/>
    <w:rsid w:val="00FA174D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A013B01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6C632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D3875"/>
    <w:pPr>
      <w:ind w:left="720"/>
      <w:contextualSpacing/>
    </w:pPr>
  </w:style>
  <w:style w:type="paragraph" w:customStyle="1" w:styleId="1CharChar">
    <w:name w:val="Знак Знак1 Char Char"/>
    <w:basedOn w:val="a"/>
    <w:rsid w:val="00354A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07528F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1013</Words>
  <Characters>5766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Lazarinka Petrishka</cp:lastModifiedBy>
  <cp:revision>24</cp:revision>
  <cp:lastPrinted>2022-02-01T14:09:00Z</cp:lastPrinted>
  <dcterms:created xsi:type="dcterms:W3CDTF">2026-03-11T13:08:00Z</dcterms:created>
  <dcterms:modified xsi:type="dcterms:W3CDTF">2026-07-07T06:21:00Z</dcterms:modified>
</cp:coreProperties>
</file>