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2A019B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Pr="003B6BFE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План за контролната дейност за 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2026 </w:t>
      </w:r>
      <w:r w:rsidRPr="003B6BFE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среда и водите и Заповед</w:t>
      </w:r>
      <w:r w:rsidR="002A019B">
        <w:rPr>
          <w:rFonts w:ascii="Times New Roman" w:hAnsi="Times New Roman"/>
          <w:sz w:val="24"/>
          <w:szCs w:val="24"/>
          <w:lang w:val="bg-BG"/>
        </w:rPr>
        <w:t>и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№</w:t>
      </w:r>
      <w:r w:rsidR="002A019B">
        <w:rPr>
          <w:rFonts w:ascii="Times New Roman" w:hAnsi="Times New Roman"/>
          <w:sz w:val="24"/>
          <w:szCs w:val="24"/>
          <w:lang w:val="bg-BG"/>
        </w:rPr>
        <w:t>№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РД-</w:t>
      </w:r>
      <w:r w:rsidR="006A6565">
        <w:rPr>
          <w:rFonts w:ascii="Times New Roman" w:hAnsi="Times New Roman"/>
          <w:sz w:val="24"/>
          <w:szCs w:val="24"/>
          <w:lang w:val="bg-BG"/>
        </w:rPr>
        <w:t>23</w:t>
      </w:r>
      <w:r w:rsidRPr="003B6BFE">
        <w:rPr>
          <w:rFonts w:ascii="Times New Roman" w:hAnsi="Times New Roman"/>
          <w:sz w:val="24"/>
          <w:szCs w:val="24"/>
          <w:lang w:val="bg-BG"/>
        </w:rPr>
        <w:t>/</w:t>
      </w:r>
      <w:r w:rsidR="006A6565">
        <w:rPr>
          <w:rFonts w:ascii="Times New Roman" w:hAnsi="Times New Roman"/>
          <w:sz w:val="24"/>
          <w:szCs w:val="24"/>
          <w:lang w:val="bg-BG"/>
        </w:rPr>
        <w:t>02.02.2026 г.</w:t>
      </w:r>
      <w:r w:rsidR="002A019B">
        <w:rPr>
          <w:rFonts w:ascii="Times New Roman" w:hAnsi="Times New Roman"/>
          <w:sz w:val="24"/>
          <w:szCs w:val="24"/>
          <w:lang w:val="bg-BG"/>
        </w:rPr>
        <w:t xml:space="preserve"> и РД-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на Директора на РИОСВ </w:t>
      </w:r>
      <w:r w:rsidR="006A6565">
        <w:rPr>
          <w:rFonts w:ascii="Times New Roman" w:hAnsi="Times New Roman"/>
          <w:sz w:val="24"/>
          <w:szCs w:val="24"/>
          <w:lang w:val="bg-BG"/>
        </w:rPr>
        <w:t>–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Пловдив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B6BFE" w:rsidRPr="006A6565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6A656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A019B">
        <w:rPr>
          <w:rFonts w:ascii="Times New Roman" w:hAnsi="Times New Roman"/>
          <w:sz w:val="24"/>
          <w:szCs w:val="24"/>
          <w:lang w:val="bg-BG"/>
        </w:rPr>
        <w:t>28</w:t>
      </w:r>
      <w:r w:rsidR="006A6565" w:rsidRPr="006A6565">
        <w:rPr>
          <w:rFonts w:ascii="Times New Roman" w:hAnsi="Times New Roman"/>
          <w:sz w:val="24"/>
          <w:szCs w:val="24"/>
          <w:lang w:val="bg-BG"/>
        </w:rPr>
        <w:t>.0</w:t>
      </w:r>
      <w:r w:rsidR="002A019B">
        <w:rPr>
          <w:rFonts w:ascii="Times New Roman" w:hAnsi="Times New Roman"/>
          <w:sz w:val="24"/>
          <w:szCs w:val="24"/>
          <w:lang w:val="bg-BG"/>
        </w:rPr>
        <w:t>5</w:t>
      </w:r>
      <w:r w:rsidR="006A6565" w:rsidRPr="006A6565">
        <w:rPr>
          <w:rFonts w:ascii="Times New Roman" w:hAnsi="Times New Roman"/>
          <w:sz w:val="24"/>
          <w:szCs w:val="24"/>
          <w:lang w:val="bg-BG"/>
        </w:rPr>
        <w:t>.2026 г.</w:t>
      </w:r>
    </w:p>
    <w:p w:rsidR="004C1F01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A6565">
        <w:rPr>
          <w:rFonts w:ascii="Times New Roman" w:hAnsi="Times New Roman"/>
          <w:sz w:val="24"/>
          <w:szCs w:val="24"/>
          <w:lang w:val="bg-BG"/>
        </w:rPr>
        <w:t>–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019B" w:rsidRPr="002A019B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2A019B" w:rsidRPr="002A019B">
        <w:rPr>
          <w:rFonts w:ascii="Times New Roman" w:hAnsi="Times New Roman"/>
          <w:sz w:val="24"/>
          <w:szCs w:val="24"/>
          <w:lang w:val="bg-BG"/>
        </w:rPr>
        <w:t>Дестилерия</w:t>
      </w:r>
      <w:proofErr w:type="spellEnd"/>
      <w:r w:rsidR="002A019B" w:rsidRPr="002A019B">
        <w:rPr>
          <w:rFonts w:ascii="Times New Roman" w:hAnsi="Times New Roman"/>
          <w:sz w:val="24"/>
          <w:szCs w:val="24"/>
          <w:lang w:val="bg-BG"/>
        </w:rPr>
        <w:t xml:space="preserve"> за етеричномаслени култури“</w:t>
      </w:r>
    </w:p>
    <w:p w:rsidR="002A019B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6565">
        <w:rPr>
          <w:rFonts w:ascii="Times New Roman" w:hAnsi="Times New Roman"/>
          <w:b/>
          <w:sz w:val="24"/>
          <w:szCs w:val="24"/>
          <w:lang w:val="bg-BG"/>
        </w:rPr>
        <w:t>с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6BFE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2A019B" w:rsidRPr="002A019B">
        <w:rPr>
          <w:rFonts w:ascii="Times New Roman" w:hAnsi="Times New Roman"/>
          <w:sz w:val="24"/>
          <w:szCs w:val="24"/>
          <w:lang w:val="bg-BG"/>
        </w:rPr>
        <w:t>ПИ с идентификатор 69016.299.11 по КККР на  с. Старосел, местност „</w:t>
      </w:r>
      <w:proofErr w:type="spellStart"/>
      <w:r w:rsidR="002A019B" w:rsidRPr="002A019B">
        <w:rPr>
          <w:rFonts w:ascii="Times New Roman" w:hAnsi="Times New Roman"/>
          <w:sz w:val="24"/>
          <w:szCs w:val="24"/>
          <w:lang w:val="bg-BG"/>
        </w:rPr>
        <w:t>Кошовица</w:t>
      </w:r>
      <w:proofErr w:type="spellEnd"/>
      <w:r w:rsidR="002A019B" w:rsidRPr="002A019B">
        <w:rPr>
          <w:rFonts w:ascii="Times New Roman" w:hAnsi="Times New Roman"/>
          <w:sz w:val="24"/>
          <w:szCs w:val="24"/>
          <w:lang w:val="bg-BG"/>
        </w:rPr>
        <w:t xml:space="preserve">“, общ. Хисаря </w:t>
      </w:r>
      <w:proofErr w:type="spellStart"/>
      <w:r w:rsidR="002A019B" w:rsidRPr="002A019B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2A019B" w:rsidRPr="002A019B">
        <w:rPr>
          <w:rFonts w:ascii="Times New Roman" w:hAnsi="Times New Roman"/>
          <w:sz w:val="24"/>
          <w:szCs w:val="24"/>
          <w:lang w:val="bg-BG"/>
        </w:rPr>
        <w:t>. Пловдив</w:t>
      </w:r>
    </w:p>
    <w:p w:rsidR="003B6BFE" w:rsidRPr="002A019B" w:rsidRDefault="00D1219F" w:rsidP="002A019B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стопанисван от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019B" w:rsidRPr="002A019B">
        <w:rPr>
          <w:rFonts w:ascii="Times New Roman" w:hAnsi="Times New Roman"/>
          <w:sz w:val="24"/>
          <w:szCs w:val="24"/>
          <w:lang w:val="bg-BG"/>
        </w:rPr>
        <w:t>„БЕРЖЕ ТРАКИЯ ” ЕООД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3B6BFE" w:rsidRPr="003B6BFE" w:rsidRDefault="003B6BFE" w:rsidP="008338D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фактори: </w:t>
      </w:r>
      <w:r w:rsidR="006A6565">
        <w:rPr>
          <w:rFonts w:ascii="Times New Roman" w:hAnsi="Times New Roman"/>
          <w:sz w:val="24"/>
          <w:szCs w:val="24"/>
          <w:lang w:val="bg-BG"/>
        </w:rPr>
        <w:t>атмосферен въздух</w:t>
      </w:r>
      <w:r w:rsidR="002A019B">
        <w:rPr>
          <w:rFonts w:ascii="Times New Roman" w:hAnsi="Times New Roman"/>
          <w:sz w:val="24"/>
          <w:szCs w:val="24"/>
          <w:lang w:val="bg-BG"/>
        </w:rPr>
        <w:t>,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 води /отпадъчни</w:t>
      </w:r>
      <w:r w:rsidR="004C1F01">
        <w:rPr>
          <w:rFonts w:ascii="Times New Roman" w:hAnsi="Times New Roman"/>
          <w:sz w:val="24"/>
          <w:szCs w:val="24"/>
          <w:lang w:val="bg-BG"/>
        </w:rPr>
        <w:t>/</w:t>
      </w:r>
      <w:r w:rsidR="002A019B">
        <w:rPr>
          <w:rFonts w:ascii="Times New Roman" w:hAnsi="Times New Roman"/>
          <w:sz w:val="24"/>
          <w:szCs w:val="24"/>
          <w:lang w:val="bg-BG"/>
        </w:rPr>
        <w:t xml:space="preserve"> и е</w:t>
      </w:r>
      <w:r w:rsidR="002A019B" w:rsidRPr="002A019B">
        <w:rPr>
          <w:rFonts w:ascii="Times New Roman" w:hAnsi="Times New Roman"/>
          <w:sz w:val="24"/>
          <w:szCs w:val="24"/>
          <w:lang w:val="bg-BG"/>
        </w:rPr>
        <w:t>кологична отговорност</w:t>
      </w:r>
    </w:p>
    <w:p w:rsidR="003B6BFE" w:rsidRPr="003B6BFE" w:rsidRDefault="003B6BFE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:rsidR="003B6BFE" w:rsidRPr="00024B33" w:rsidRDefault="003B6BFE" w:rsidP="00024B3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3B6BFE">
        <w:rPr>
          <w:rFonts w:ascii="Times New Roman" w:hAnsi="Times New Roman"/>
          <w:bCs/>
          <w:sz w:val="24"/>
          <w:szCs w:val="24"/>
          <w:lang w:val="bg-BG"/>
        </w:rPr>
        <w:tab/>
        <w:t xml:space="preserve">На територията на обекта са </w:t>
      </w:r>
      <w:r w:rsidRPr="003B6BFE">
        <w:rPr>
          <w:rFonts w:ascii="Times New Roman" w:hAnsi="Times New Roman"/>
          <w:sz w:val="24"/>
          <w:szCs w:val="24"/>
          <w:lang w:val="bg-BG"/>
        </w:rPr>
        <w:t>проверени:</w:t>
      </w:r>
      <w:r w:rsidR="00024B3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24B33" w:rsidRPr="00024B33">
        <w:rPr>
          <w:rFonts w:ascii="Times New Roman" w:hAnsi="Times New Roman"/>
          <w:sz w:val="24"/>
          <w:szCs w:val="24"/>
          <w:lang w:val="bg-BG"/>
        </w:rPr>
        <w:t xml:space="preserve">производствено помещение с технологично оборудване и съоръжения, котелно помещение, ревизионни шахти – пунктове за собствен мониторинг на пречистени отпадъчни води, 2 броя </w:t>
      </w:r>
      <w:proofErr w:type="spellStart"/>
      <w:r w:rsidR="00024B33" w:rsidRPr="00024B33">
        <w:rPr>
          <w:rFonts w:ascii="Times New Roman" w:hAnsi="Times New Roman"/>
          <w:sz w:val="24"/>
          <w:szCs w:val="24"/>
          <w:lang w:val="bg-BG"/>
        </w:rPr>
        <w:t>водоплътни</w:t>
      </w:r>
      <w:proofErr w:type="spellEnd"/>
      <w:r w:rsidR="00024B33" w:rsidRPr="00024B3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024B33" w:rsidRPr="00024B33">
        <w:rPr>
          <w:rFonts w:ascii="Times New Roman" w:hAnsi="Times New Roman"/>
          <w:sz w:val="24"/>
          <w:szCs w:val="24"/>
          <w:lang w:val="bg-BG"/>
        </w:rPr>
        <w:t>изгребни</w:t>
      </w:r>
      <w:proofErr w:type="spellEnd"/>
      <w:r w:rsidR="00024B33" w:rsidRPr="00024B33">
        <w:rPr>
          <w:rFonts w:ascii="Times New Roman" w:hAnsi="Times New Roman"/>
          <w:sz w:val="24"/>
          <w:szCs w:val="24"/>
          <w:lang w:val="bg-BG"/>
        </w:rPr>
        <w:t xml:space="preserve"> резервоари за съхранение на производствени отпадъчни води, </w:t>
      </w:r>
      <w:proofErr w:type="spellStart"/>
      <w:r w:rsidR="00024B33" w:rsidRPr="00024B33">
        <w:rPr>
          <w:rFonts w:ascii="Times New Roman" w:hAnsi="Times New Roman"/>
          <w:sz w:val="24"/>
          <w:szCs w:val="24"/>
          <w:lang w:val="bg-BG"/>
        </w:rPr>
        <w:t>шнеково</w:t>
      </w:r>
      <w:proofErr w:type="spellEnd"/>
      <w:r w:rsidR="00024B33" w:rsidRPr="00024B33">
        <w:rPr>
          <w:rFonts w:ascii="Times New Roman" w:hAnsi="Times New Roman"/>
          <w:sz w:val="24"/>
          <w:szCs w:val="24"/>
          <w:lang w:val="bg-BG"/>
        </w:rPr>
        <w:t xml:space="preserve"> устройство за отделяне на отработен розов цвят, пречиствателни съоръжения за </w:t>
      </w:r>
      <w:proofErr w:type="spellStart"/>
      <w:r w:rsidR="00024B33" w:rsidRPr="00024B33">
        <w:rPr>
          <w:rFonts w:ascii="Times New Roman" w:hAnsi="Times New Roman"/>
          <w:sz w:val="24"/>
          <w:szCs w:val="24"/>
          <w:lang w:val="bg-BG"/>
        </w:rPr>
        <w:t>битовофекални</w:t>
      </w:r>
      <w:proofErr w:type="spellEnd"/>
      <w:r w:rsidR="00024B33" w:rsidRPr="00024B33">
        <w:rPr>
          <w:rFonts w:ascii="Times New Roman" w:hAnsi="Times New Roman"/>
          <w:sz w:val="24"/>
          <w:szCs w:val="24"/>
          <w:lang w:val="bg-BG"/>
        </w:rPr>
        <w:t xml:space="preserve">, дъждовни води, </w:t>
      </w:r>
      <w:proofErr w:type="spellStart"/>
      <w:r w:rsidR="00024B33" w:rsidRPr="00024B33">
        <w:rPr>
          <w:rFonts w:ascii="Times New Roman" w:hAnsi="Times New Roman"/>
          <w:sz w:val="24"/>
          <w:szCs w:val="24"/>
          <w:lang w:val="bg-BG"/>
        </w:rPr>
        <w:t>каломаслоуловител</w:t>
      </w:r>
      <w:proofErr w:type="spellEnd"/>
      <w:r w:rsidR="00024B33" w:rsidRPr="00024B33">
        <w:rPr>
          <w:rFonts w:ascii="Times New Roman" w:hAnsi="Times New Roman"/>
          <w:sz w:val="24"/>
          <w:szCs w:val="24"/>
          <w:lang w:val="bg-BG"/>
        </w:rPr>
        <w:t>, пломба на кран към помпена станция както и документация, която операторът следва да води.</w:t>
      </w:r>
    </w:p>
    <w:p w:rsidR="003B6BFE" w:rsidRPr="003B6BFE" w:rsidRDefault="003B6BFE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0F75F2" w:rsidRDefault="003B6BFE" w:rsidP="003B6BFE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</w:p>
    <w:p w:rsidR="00024B33" w:rsidRPr="00024B33" w:rsidRDefault="00024B33" w:rsidP="00024B33">
      <w:pPr>
        <w:contextualSpacing/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Основна дейност на дружеството е производство на етерични масла чрез </w:t>
      </w:r>
      <w:proofErr w:type="spellStart"/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воднопарна</w:t>
      </w:r>
      <w:proofErr w:type="spellEnd"/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дестилация и </w:t>
      </w:r>
      <w:proofErr w:type="spellStart"/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кохобация</w:t>
      </w:r>
      <w:proofErr w:type="spellEnd"/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на маслодайна роза, лавандула и др. етеричномаслени култури. </w:t>
      </w:r>
    </w:p>
    <w:p w:rsidR="003B6BFE" w:rsidRPr="003B6BFE" w:rsidRDefault="00024B33" w:rsidP="00024B33">
      <w:pPr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През 2026 г. кампанията в обекта по производство на етерични масла от маслодайна роза е стартирала на 15.05.2026 г. Към момента на проверката се извършва изваряване на свеж розов цвят.</w:t>
      </w:r>
      <w:r w:rsidR="003B6BFE" w:rsidRPr="003B6BFE">
        <w:rPr>
          <w:rFonts w:ascii="Times New Roman" w:hAnsi="Times New Roman"/>
          <w:sz w:val="24"/>
          <w:szCs w:val="24"/>
          <w:lang w:val="bg-BG"/>
        </w:rPr>
        <w:tab/>
      </w:r>
    </w:p>
    <w:p w:rsidR="00903E8B" w:rsidRDefault="003B6BFE" w:rsidP="00903E8B">
      <w:pPr>
        <w:pStyle w:val="ad"/>
        <w:numPr>
          <w:ilvl w:val="0"/>
          <w:numId w:val="2"/>
        </w:numPr>
        <w:jc w:val="both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8D387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По компонент „</w:t>
      </w:r>
      <w:r w:rsidR="006C6326" w:rsidRPr="008D387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Атмосферен въздух</w:t>
      </w:r>
      <w:r w:rsidR="00903E8B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“:</w:t>
      </w:r>
    </w:p>
    <w:p w:rsidR="00156C9F" w:rsidRDefault="00024B33" w:rsidP="00024B33">
      <w:pPr>
        <w:ind w:firstLine="426"/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lastRenderedPageBreak/>
        <w:t>Източник на емисии в атмосферния въздух от обекта се явява парен котел с номинална входяща топлинна мощност 5.167MW, работещ с гориво природен газ</w:t>
      </w: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, който се използва за технологични нужди</w:t>
      </w:r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. Изпускащото устройство на котела е оборудвано с </w:t>
      </w:r>
      <w:proofErr w:type="spellStart"/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пробовземна</w:t>
      </w:r>
      <w:proofErr w:type="spellEnd"/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точка за провеждане на регламентирани собствени периодични и/или контролни измервания на емисиите на вредни вещества изпускани в атмосферния въздух с местоположение, съответстващо на изискванията на чл.12 от Наредба №6/1999 г. (</w:t>
      </w:r>
      <w:proofErr w:type="spellStart"/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обн</w:t>
      </w:r>
      <w:proofErr w:type="spellEnd"/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. ДВ, бр.31/1999 г., с </w:t>
      </w:r>
      <w:proofErr w:type="spellStart"/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посл</w:t>
      </w:r>
      <w:proofErr w:type="spellEnd"/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. изм. и доп.). </w:t>
      </w: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К</w:t>
      </w:r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отел</w:t>
      </w: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ът</w:t>
      </w:r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е регистриран като нова средна горивна инсталация по реда на чл.9г от Закона за чистотата на атмосферния въздух, за което на дружеството е издадено Удостоверение №18 от 19.12.2022 г. от директора на РИОСВ-Пловдив</w:t>
      </w: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. </w:t>
      </w:r>
      <w:r w:rsidR="00687538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К</w:t>
      </w: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ъм датата на проверката</w:t>
      </w:r>
      <w:r w:rsidR="00687538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котелът</w:t>
      </w:r>
      <w:r w:rsidR="00687538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е в работен</w:t>
      </w: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.</w:t>
      </w:r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Н</w:t>
      </w:r>
      <w:r w:rsidRPr="00024B3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е са представени резултати от проведени собствени периодични измервания на концентрациите на вредни вещества изпускани в атмосферния въздух от котела.</w:t>
      </w:r>
    </w:p>
    <w:p w:rsidR="0059375A" w:rsidRPr="00156C9F" w:rsidRDefault="0059375A" w:rsidP="00156C9F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156C9F"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  <w:t>По компонент „Води“: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56C9F" w:rsidRPr="00156C9F" w:rsidRDefault="00156C9F" w:rsidP="00687538">
      <w:pPr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ружеството притежава Разрешително за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заустване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 пречистени отпадъчни води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, издадено от </w:t>
      </w:r>
      <w:r>
        <w:rPr>
          <w:rFonts w:ascii="Times New Roman" w:hAnsi="Times New Roman"/>
          <w:sz w:val="24"/>
          <w:szCs w:val="24"/>
          <w:lang w:val="bg-BG"/>
        </w:rPr>
        <w:t>БД ИБР-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 Пловдив</w:t>
      </w:r>
      <w:r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 изпълнява заложените </w:t>
      </w:r>
      <w:r>
        <w:rPr>
          <w:rFonts w:ascii="Times New Roman" w:hAnsi="Times New Roman"/>
          <w:sz w:val="24"/>
          <w:szCs w:val="24"/>
          <w:lang w:val="bg-BG"/>
        </w:rPr>
        <w:t xml:space="preserve">в него </w:t>
      </w:r>
      <w:r w:rsidRPr="00156C9F">
        <w:rPr>
          <w:rFonts w:ascii="Times New Roman" w:hAnsi="Times New Roman"/>
          <w:sz w:val="24"/>
          <w:szCs w:val="24"/>
          <w:lang w:val="bg-BG"/>
        </w:rPr>
        <w:t>условия. Осигурено е локално пречистване на формираните потоци отпадъчни води: ПСОВ за битово-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фекалните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каломасло-уловител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 xml:space="preserve"> за дъждовните. Производствените отпадъчни води, формирани от дестилация на розов цвят, след отделяне на отработения розов цвят се събират в два безотточни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водоплътни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изгребни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 xml:space="preserve"> резервоара. За недопускане възможността за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заустване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 xml:space="preserve"> на отпадъчната вода след резервоарите е поставена оловна пломба с печат МОСВ/РИОСВ на кран на помпената станция в затворено положение, за което от Директора на РИОСВ-Пловдив има издадена Заповед за принудителна административна мярка (ПАМ). При </w:t>
      </w:r>
      <w:r>
        <w:rPr>
          <w:rFonts w:ascii="Times New Roman" w:hAnsi="Times New Roman"/>
          <w:sz w:val="24"/>
          <w:szCs w:val="24"/>
          <w:lang w:val="bg-BG"/>
        </w:rPr>
        <w:t>извършената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 проверка е констатирано, че пломба</w:t>
      </w:r>
      <w:r w:rsidR="00687538">
        <w:rPr>
          <w:rFonts w:ascii="Times New Roman" w:hAnsi="Times New Roman"/>
          <w:sz w:val="24"/>
          <w:szCs w:val="24"/>
          <w:lang w:val="bg-BG"/>
        </w:rPr>
        <w:t>та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 е 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ненарушена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 xml:space="preserve"> цялост.</w:t>
      </w:r>
    </w:p>
    <w:p w:rsidR="00156C9F" w:rsidRPr="00156C9F" w:rsidRDefault="00156C9F" w:rsidP="00156C9F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56C9F">
        <w:rPr>
          <w:rFonts w:ascii="Times New Roman" w:hAnsi="Times New Roman"/>
          <w:sz w:val="24"/>
          <w:szCs w:val="24"/>
          <w:lang w:val="bg-BG"/>
        </w:rPr>
        <w:tab/>
        <w:t xml:space="preserve">„БЕРЖЕ ТРАКИЯ” ЕООД провежда собствен мониторинг на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заустваните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 xml:space="preserve"> пречистени отпадъчни води.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Пробонабирането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 xml:space="preserve"> и анализите се извършват от акредитирана лаборатория. Протоколите с </w:t>
      </w:r>
      <w:r w:rsidR="00687538">
        <w:rPr>
          <w:rFonts w:ascii="Times New Roman" w:hAnsi="Times New Roman"/>
          <w:sz w:val="24"/>
          <w:szCs w:val="24"/>
          <w:lang w:val="bg-BG"/>
        </w:rPr>
        <w:t xml:space="preserve">резултати от </w:t>
      </w:r>
      <w:r w:rsidRPr="00156C9F">
        <w:rPr>
          <w:rFonts w:ascii="Times New Roman" w:hAnsi="Times New Roman"/>
          <w:sz w:val="24"/>
          <w:szCs w:val="24"/>
          <w:lang w:val="bg-BG"/>
        </w:rPr>
        <w:t>анализите се представят в РИОСВ-Пловдив</w:t>
      </w:r>
      <w:r w:rsidR="00687538">
        <w:rPr>
          <w:rFonts w:ascii="Times New Roman" w:hAnsi="Times New Roman"/>
          <w:sz w:val="24"/>
          <w:szCs w:val="24"/>
          <w:lang w:val="bg-BG"/>
        </w:rPr>
        <w:t xml:space="preserve"> и показват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 спазва</w:t>
      </w:r>
      <w:r w:rsidR="00687538">
        <w:rPr>
          <w:rFonts w:ascii="Times New Roman" w:hAnsi="Times New Roman"/>
          <w:sz w:val="24"/>
          <w:szCs w:val="24"/>
          <w:lang w:val="bg-BG"/>
        </w:rPr>
        <w:t xml:space="preserve">не на 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индивидуалните емисионни ограничения в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разрещителното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 xml:space="preserve">. В законоустановения срок е представен доклад по чл. 48, ал. 1, т. 12 от Закона за водите. За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заустваната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 xml:space="preserve"> пречистена отпадъчна вода дружеството заплаща такса в БД ИБР Пловдив по измереното колич</w:t>
      </w:r>
      <w:r w:rsidR="00687538">
        <w:rPr>
          <w:rFonts w:ascii="Times New Roman" w:hAnsi="Times New Roman"/>
          <w:sz w:val="24"/>
          <w:szCs w:val="24"/>
          <w:lang w:val="bg-BG"/>
        </w:rPr>
        <w:t>е</w:t>
      </w:r>
      <w:r w:rsidRPr="00156C9F">
        <w:rPr>
          <w:rFonts w:ascii="Times New Roman" w:hAnsi="Times New Roman"/>
          <w:sz w:val="24"/>
          <w:szCs w:val="24"/>
          <w:lang w:val="bg-BG"/>
        </w:rPr>
        <w:t>ство.</w:t>
      </w:r>
      <w:r w:rsidR="0068753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56C9F">
        <w:rPr>
          <w:rFonts w:ascii="Times New Roman" w:hAnsi="Times New Roman"/>
          <w:sz w:val="24"/>
          <w:szCs w:val="24"/>
          <w:lang w:val="bg-BG"/>
        </w:rPr>
        <w:t>Охлаждащите води се използват оборотно.</w:t>
      </w:r>
    </w:p>
    <w:p w:rsidR="008338D4" w:rsidRPr="00123B11" w:rsidRDefault="00156C9F" w:rsidP="00156C9F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56C9F">
        <w:rPr>
          <w:rFonts w:ascii="Times New Roman" w:hAnsi="Times New Roman"/>
          <w:sz w:val="24"/>
          <w:szCs w:val="24"/>
          <w:lang w:val="bg-BG"/>
        </w:rPr>
        <w:tab/>
        <w:t xml:space="preserve">В присъствие </w:t>
      </w:r>
      <w:r>
        <w:rPr>
          <w:rFonts w:ascii="Times New Roman" w:hAnsi="Times New Roman"/>
          <w:sz w:val="24"/>
          <w:szCs w:val="24"/>
          <w:lang w:val="bg-BG"/>
        </w:rPr>
        <w:t xml:space="preserve">на представител на дружеството от 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експерт на РЛ-Пловдив </w:t>
      </w:r>
      <w:r>
        <w:rPr>
          <w:rFonts w:ascii="Times New Roman" w:hAnsi="Times New Roman"/>
          <w:sz w:val="24"/>
          <w:szCs w:val="24"/>
          <w:lang w:val="bg-BG"/>
        </w:rPr>
        <w:t xml:space="preserve">е взета </w:t>
      </w:r>
      <w:r w:rsidRPr="00156C9F">
        <w:rPr>
          <w:rFonts w:ascii="Times New Roman" w:hAnsi="Times New Roman"/>
          <w:sz w:val="24"/>
          <w:szCs w:val="24"/>
          <w:lang w:val="bg-BG"/>
        </w:rPr>
        <w:t xml:space="preserve">проба за анализ от пункт за мониторинг 1 – РШ, където се смесват всички потоци отпадъчни води преди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заустване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 xml:space="preserve"> в повърхностния воден обект - река </w:t>
      </w:r>
      <w:proofErr w:type="spellStart"/>
      <w:r w:rsidRPr="00156C9F">
        <w:rPr>
          <w:rFonts w:ascii="Times New Roman" w:hAnsi="Times New Roman"/>
          <w:sz w:val="24"/>
          <w:szCs w:val="24"/>
          <w:lang w:val="bg-BG"/>
        </w:rPr>
        <w:t>Кошовица</w:t>
      </w:r>
      <w:proofErr w:type="spellEnd"/>
      <w:r w:rsidRPr="00156C9F">
        <w:rPr>
          <w:rFonts w:ascii="Times New Roman" w:hAnsi="Times New Roman"/>
          <w:sz w:val="24"/>
          <w:szCs w:val="24"/>
          <w:lang w:val="bg-BG"/>
        </w:rPr>
        <w:t>. От пунктовете за собствен мониторинг 2 и 3 проби не са взети поради недостатъчно количество пречистена отпадъчна вода.</w:t>
      </w:r>
    </w:p>
    <w:p w:rsidR="003B6BFE" w:rsidRDefault="003B6BFE" w:rsidP="003B6BFE">
      <w:pPr>
        <w:numPr>
          <w:ilvl w:val="0"/>
          <w:numId w:val="2"/>
        </w:numPr>
        <w:jc w:val="both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По фактор „</w:t>
      </w:r>
      <w:r w:rsidR="00156C9F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Екологична отговорност</w:t>
      </w:r>
      <w:r w:rsidR="008A3D46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“</w:t>
      </w: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:</w:t>
      </w:r>
    </w:p>
    <w:p w:rsidR="00156C9F" w:rsidRPr="00156C9F" w:rsidRDefault="00156C9F" w:rsidP="00687538">
      <w:pPr>
        <w:ind w:firstLine="426"/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Дружеството из</w:t>
      </w: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вършва дейности попадащи в т. 3 и т.</w:t>
      </w:r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4 на Приложение №1 на Закона за отговорността за предотвратяване и отстраняване на екологични щети (ЗОПОЕЩ), а именно: </w:t>
      </w:r>
    </w:p>
    <w:p w:rsidR="00156C9F" w:rsidRDefault="00156C9F" w:rsidP="00156C9F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-</w:t>
      </w:r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ab/>
      </w:r>
      <w:proofErr w:type="spellStart"/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Водовземане</w:t>
      </w:r>
      <w:proofErr w:type="spellEnd"/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от тръбни кладенци </w:t>
      </w:r>
    </w:p>
    <w:p w:rsidR="00156C9F" w:rsidRDefault="00156C9F" w:rsidP="00156C9F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-</w:t>
      </w:r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ab/>
        <w:t xml:space="preserve">Съхранение на природна газ за нуждите на котелна централа. Съхранението се извършва в групова бутилкова инсталация за CNG </w:t>
      </w:r>
    </w:p>
    <w:p w:rsidR="00156C9F" w:rsidRPr="00156C9F" w:rsidRDefault="00156C9F" w:rsidP="00687538">
      <w:pPr>
        <w:ind w:firstLine="720"/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При извършената проверка е представена Собствена оценка за възможни случаи на непосредствена заплаха за екологични щети и на случаи на причинени екологични щети от 15.05.2026 г. В оценката са включени превантивни и оздравителни мерки. </w:t>
      </w:r>
    </w:p>
    <w:p w:rsidR="00156C9F" w:rsidRPr="00156C9F" w:rsidRDefault="00156C9F" w:rsidP="00687538">
      <w:pPr>
        <w:ind w:firstLine="720"/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При извършен</w:t>
      </w: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ия </w:t>
      </w:r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обход</w:t>
      </w: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извън границите на площадката </w:t>
      </w:r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не се к</w:t>
      </w: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онстатира замърсяване в съседни</w:t>
      </w:r>
      <w:r w:rsidRPr="00156C9F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терени. </w:t>
      </w:r>
    </w:p>
    <w:p w:rsidR="00156C9F" w:rsidRDefault="00156C9F" w:rsidP="00156C9F">
      <w:pPr>
        <w:jc w:val="both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</w:p>
    <w:p w:rsidR="003B6BFE" w:rsidRPr="006A6565" w:rsidRDefault="003B6BFE" w:rsidP="003B6BFE">
      <w:pPr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</w:pP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</w:rPr>
        <w:lastRenderedPageBreak/>
        <w:t>IV</w:t>
      </w: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. Предписания,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срокове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за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изпълнение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,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отговорници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:</w:t>
      </w:r>
      <w:r w:rsidR="006A656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</w:t>
      </w:r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На </w:t>
      </w:r>
      <w:proofErr w:type="spellStart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дружеството</w:t>
      </w:r>
      <w:proofErr w:type="spellEnd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</w:t>
      </w:r>
      <w:proofErr w:type="spellStart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са</w:t>
      </w:r>
      <w:proofErr w:type="spellEnd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</w:t>
      </w:r>
      <w:proofErr w:type="spellStart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дадени</w:t>
      </w:r>
      <w:proofErr w:type="spellEnd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две предписания - за </w:t>
      </w:r>
      <w:proofErr w:type="spellStart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провеждане</w:t>
      </w:r>
      <w:proofErr w:type="spellEnd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на СПИ до края на </w:t>
      </w:r>
      <w:proofErr w:type="spellStart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месец</w:t>
      </w:r>
      <w:proofErr w:type="spellEnd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</w:t>
      </w:r>
      <w:proofErr w:type="spellStart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юни</w:t>
      </w:r>
      <w:proofErr w:type="spellEnd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2026 г. и </w:t>
      </w:r>
      <w:proofErr w:type="spellStart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докладване</w:t>
      </w:r>
      <w:proofErr w:type="spellEnd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на </w:t>
      </w:r>
      <w:proofErr w:type="spellStart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резултатите</w:t>
      </w:r>
      <w:proofErr w:type="spellEnd"/>
      <w:r w:rsidR="006875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в РИОСВ-Пловдив.</w:t>
      </w:r>
      <w:r w:rsidR="006A6565" w:rsidRPr="006A656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</w:t>
      </w:r>
    </w:p>
    <w:p w:rsidR="003B6BFE" w:rsidRPr="003B6BFE" w:rsidRDefault="003B6BFE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ru-RU"/>
        </w:rPr>
        <w:t xml:space="preserve">       </w:t>
      </w:r>
    </w:p>
    <w:p w:rsidR="003B6BFE" w:rsidRPr="008338D4" w:rsidRDefault="003B6BFE" w:rsidP="003B6BFE">
      <w:pPr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  <w:r w:rsidR="006A6565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 xml:space="preserve"> </w:t>
      </w:r>
      <w:r w:rsidR="008338D4" w:rsidRP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не са установени </w:t>
      </w:r>
      <w:r w:rsidR="00687538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нарушения на</w:t>
      </w:r>
      <w:bookmarkStart w:id="0" w:name="_GoBack"/>
      <w:bookmarkEnd w:id="0"/>
      <w:r w:rsidR="008338D4" w:rsidRP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действащото законодателство по проверяваните комп</w:t>
      </w:r>
      <w:r w:rsid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о</w:t>
      </w:r>
      <w:r w:rsidR="008338D4" w:rsidRP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ненти и фактори</w:t>
      </w:r>
    </w:p>
    <w:p w:rsidR="00254D0B" w:rsidRPr="008338D4" w:rsidRDefault="003B6BFE" w:rsidP="003B6BF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</w:p>
    <w:sectPr w:rsidR="00254D0B" w:rsidRPr="008338D4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FF" w:rsidRDefault="00487DFF">
      <w:r>
        <w:separator/>
      </w:r>
    </w:p>
  </w:endnote>
  <w:endnote w:type="continuationSeparator" w:id="0">
    <w:p w:rsidR="00487DFF" w:rsidRDefault="0048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FF" w:rsidRDefault="00487DFF">
      <w:r>
        <w:separator/>
      </w:r>
    </w:p>
  </w:footnote>
  <w:footnote w:type="continuationSeparator" w:id="0">
    <w:p w:rsidR="00487DFF" w:rsidRDefault="0048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A448A"/>
    <w:multiLevelType w:val="hybridMultilevel"/>
    <w:tmpl w:val="75049ED0"/>
    <w:lvl w:ilvl="0" w:tplc="12C8F3AA">
      <w:start w:val="1"/>
      <w:numFmt w:val="decimal"/>
      <w:lvlText w:val="%1."/>
      <w:lvlJc w:val="left"/>
      <w:pPr>
        <w:ind w:left="720" w:hanging="360"/>
      </w:pPr>
      <w:rPr>
        <w:rFonts w:hint="default"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B3"/>
    <w:rsid w:val="0000306F"/>
    <w:rsid w:val="00024B33"/>
    <w:rsid w:val="000415D7"/>
    <w:rsid w:val="00043B6D"/>
    <w:rsid w:val="00066AA2"/>
    <w:rsid w:val="000F75F2"/>
    <w:rsid w:val="001026D3"/>
    <w:rsid w:val="001073F0"/>
    <w:rsid w:val="001149EF"/>
    <w:rsid w:val="00153AB0"/>
    <w:rsid w:val="00156C9F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6B4"/>
    <w:rsid w:val="001F3635"/>
    <w:rsid w:val="0020653E"/>
    <w:rsid w:val="00233451"/>
    <w:rsid w:val="0024120B"/>
    <w:rsid w:val="002501B0"/>
    <w:rsid w:val="00254D0B"/>
    <w:rsid w:val="00266D04"/>
    <w:rsid w:val="002A019B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87DFF"/>
    <w:rsid w:val="004B7D22"/>
    <w:rsid w:val="004C1F01"/>
    <w:rsid w:val="004C3144"/>
    <w:rsid w:val="004F765C"/>
    <w:rsid w:val="00516DAD"/>
    <w:rsid w:val="00545E5B"/>
    <w:rsid w:val="0057056E"/>
    <w:rsid w:val="00582663"/>
    <w:rsid w:val="0059375A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87538"/>
    <w:rsid w:val="006A421B"/>
    <w:rsid w:val="006A6565"/>
    <w:rsid w:val="006B0B9A"/>
    <w:rsid w:val="006C6326"/>
    <w:rsid w:val="006D21A3"/>
    <w:rsid w:val="006E1608"/>
    <w:rsid w:val="00714D69"/>
    <w:rsid w:val="0072407F"/>
    <w:rsid w:val="00735898"/>
    <w:rsid w:val="007719EF"/>
    <w:rsid w:val="00772848"/>
    <w:rsid w:val="00776E91"/>
    <w:rsid w:val="007A07E7"/>
    <w:rsid w:val="007A6290"/>
    <w:rsid w:val="007A7B40"/>
    <w:rsid w:val="007B6DFE"/>
    <w:rsid w:val="007D0F7F"/>
    <w:rsid w:val="008338D4"/>
    <w:rsid w:val="00842F0C"/>
    <w:rsid w:val="0085348A"/>
    <w:rsid w:val="00860390"/>
    <w:rsid w:val="0088526F"/>
    <w:rsid w:val="0089514A"/>
    <w:rsid w:val="00896594"/>
    <w:rsid w:val="008A0444"/>
    <w:rsid w:val="008A3D46"/>
    <w:rsid w:val="008B0206"/>
    <w:rsid w:val="008B1300"/>
    <w:rsid w:val="008D3875"/>
    <w:rsid w:val="008D749E"/>
    <w:rsid w:val="00903E8B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A67C8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7292C"/>
    <w:rsid w:val="00A92E12"/>
    <w:rsid w:val="00AD0F0E"/>
    <w:rsid w:val="00AD11C4"/>
    <w:rsid w:val="00AD13E8"/>
    <w:rsid w:val="00B0052C"/>
    <w:rsid w:val="00B06A2A"/>
    <w:rsid w:val="00B11347"/>
    <w:rsid w:val="00B17E9C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1219F"/>
    <w:rsid w:val="00D259F5"/>
    <w:rsid w:val="00D450FA"/>
    <w:rsid w:val="00D530CC"/>
    <w:rsid w:val="00D61AE4"/>
    <w:rsid w:val="00D63107"/>
    <w:rsid w:val="00D7472F"/>
    <w:rsid w:val="00D93AB6"/>
    <w:rsid w:val="00D95489"/>
    <w:rsid w:val="00DC60E0"/>
    <w:rsid w:val="00DE1749"/>
    <w:rsid w:val="00DF43B6"/>
    <w:rsid w:val="00E344E2"/>
    <w:rsid w:val="00E8208C"/>
    <w:rsid w:val="00EA3B1F"/>
    <w:rsid w:val="00EB0DBD"/>
    <w:rsid w:val="00EB1B62"/>
    <w:rsid w:val="00EB63EB"/>
    <w:rsid w:val="00EC304D"/>
    <w:rsid w:val="00ED1377"/>
    <w:rsid w:val="00F13964"/>
    <w:rsid w:val="00F275CF"/>
    <w:rsid w:val="00F54142"/>
    <w:rsid w:val="00F66C88"/>
    <w:rsid w:val="00F72CF1"/>
    <w:rsid w:val="00F74415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E2E946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6C632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D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773</Words>
  <Characters>4719</Characters>
  <Application>Microsoft Office Word</Application>
  <DocSecurity>0</DocSecurity>
  <Lines>39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Valentina Nedialkova</cp:lastModifiedBy>
  <cp:revision>15</cp:revision>
  <cp:lastPrinted>2022-02-01T14:09:00Z</cp:lastPrinted>
  <dcterms:created xsi:type="dcterms:W3CDTF">2026-03-11T13:08:00Z</dcterms:created>
  <dcterms:modified xsi:type="dcterms:W3CDTF">2026-06-04T10:35:00Z</dcterms:modified>
</cp:coreProperties>
</file>