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354A0B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Pr="003B6BFE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54A0B" w:rsidRDefault="003B6BFE" w:rsidP="003B6BFE">
      <w:pPr>
        <w:jc w:val="center"/>
        <w:rPr>
          <w:rFonts w:ascii="Verdana" w:hAnsi="Verdana"/>
          <w:b/>
          <w:lang w:val="ru-RU"/>
        </w:rPr>
      </w:pPr>
      <w:r w:rsidRPr="00354A0B">
        <w:rPr>
          <w:rFonts w:ascii="Verdana" w:hAnsi="Verdana"/>
          <w:b/>
          <w:lang w:val="ru-RU"/>
        </w:rPr>
        <w:t xml:space="preserve">ДОКЛАД </w:t>
      </w:r>
    </w:p>
    <w:p w:rsidR="003B6BFE" w:rsidRPr="00354A0B" w:rsidRDefault="003B6BFE" w:rsidP="003B6BFE">
      <w:pPr>
        <w:jc w:val="center"/>
        <w:rPr>
          <w:rFonts w:ascii="Verdana" w:hAnsi="Verdana"/>
          <w:b/>
          <w:lang w:val="bg-BG"/>
        </w:rPr>
      </w:pPr>
      <w:r w:rsidRPr="00354A0B">
        <w:rPr>
          <w:rFonts w:ascii="Verdana" w:hAnsi="Verdana"/>
          <w:b/>
          <w:lang w:val="bg-BG"/>
        </w:rPr>
        <w:t xml:space="preserve">за извършена комплексна проверка </w:t>
      </w:r>
    </w:p>
    <w:p w:rsidR="003B6BFE" w:rsidRPr="00354A0B" w:rsidRDefault="003B6BFE" w:rsidP="003B6BFE">
      <w:pPr>
        <w:jc w:val="both"/>
        <w:rPr>
          <w:rFonts w:ascii="Verdana" w:hAnsi="Verdana"/>
          <w:lang w:val="bg-BG"/>
        </w:rPr>
      </w:pPr>
    </w:p>
    <w:p w:rsidR="00354A0B" w:rsidRPr="00354A0B" w:rsidRDefault="00354A0B" w:rsidP="00354A0B">
      <w:pPr>
        <w:jc w:val="both"/>
        <w:rPr>
          <w:rFonts w:ascii="Verdana" w:hAnsi="Verdana"/>
          <w:lang w:val="bg-BG"/>
        </w:rPr>
      </w:pPr>
      <w:r w:rsidRPr="00354A0B">
        <w:rPr>
          <w:rFonts w:ascii="Verdana" w:hAnsi="Verdana"/>
          <w:b/>
          <w:lang w:val="bg-BG"/>
        </w:rPr>
        <w:t>На основание</w:t>
      </w:r>
      <w:r>
        <w:rPr>
          <w:rFonts w:ascii="Verdana" w:hAnsi="Verdana"/>
          <w:b/>
          <w:lang w:val="bg-BG"/>
        </w:rPr>
        <w:t>:</w:t>
      </w:r>
      <w:bookmarkStart w:id="0" w:name="_GoBack"/>
      <w:bookmarkEnd w:id="0"/>
      <w:r w:rsidRPr="00354A0B">
        <w:rPr>
          <w:rFonts w:ascii="Verdana" w:hAnsi="Verdana"/>
          <w:lang w:val="bg-BG"/>
        </w:rPr>
        <w:t xml:space="preserve"> План за контролната дейност за 2026 г. на РИОСВ – Пловдив, утвърден от Министъра на околната среда и водите и Заповед на Директора на РИОСВ-Пловдив, на 16.03.2026 г. е извършена комплексна проверка в обект „Предприятие за производство на машини и оборудване за тютюневата промишленост“ с оператор „АЙГЕР ИНЖЕНЕРИНГ“ ООД, разположено в гр. Пловдив</w:t>
      </w: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  <w:r w:rsidRPr="00354A0B">
        <w:rPr>
          <w:rFonts w:ascii="Verdana" w:hAnsi="Verdana"/>
          <w:b/>
          <w:bCs/>
          <w:lang w:val="bg-BG"/>
        </w:rPr>
        <w:t>I. Цел на проверката:</w:t>
      </w:r>
    </w:p>
    <w:p w:rsidR="00354A0B" w:rsidRPr="00354A0B" w:rsidRDefault="00354A0B" w:rsidP="00354A0B">
      <w:pPr>
        <w:ind w:firstLine="720"/>
        <w:jc w:val="both"/>
        <w:rPr>
          <w:rFonts w:ascii="Verdana" w:hAnsi="Verdana"/>
          <w:lang w:val="bg-BG"/>
        </w:rPr>
      </w:pPr>
      <w:r w:rsidRPr="00354A0B">
        <w:rPr>
          <w:rFonts w:ascii="Verdana" w:hAnsi="Verdana"/>
          <w:lang w:val="bg-BG"/>
        </w:rPr>
        <w:t xml:space="preserve">Основна цел на проверката е установяване на нивото и степента на съответствие на дейността в обекта с изискванията, заложени в </w:t>
      </w:r>
      <w:r w:rsidRPr="00354A0B">
        <w:rPr>
          <w:rFonts w:ascii="Verdana" w:hAnsi="Verdana"/>
          <w:i/>
          <w:lang w:val="bg-BG"/>
        </w:rPr>
        <w:t xml:space="preserve">Закона за опазване на околната среда(ЗООС), Закона за чистотата на атмосферния въздух (ЗЧАВ), Закона за защита от вредното въздействие на химичните вещества и смеси (ЗЗВХВС) </w:t>
      </w:r>
      <w:r w:rsidRPr="00354A0B">
        <w:rPr>
          <w:rFonts w:ascii="Verdana" w:hAnsi="Verdana"/>
          <w:lang w:val="bg-BG"/>
        </w:rPr>
        <w:t>и подзаконовите нормативни актове към тях, както и Регламенти на Европейския съюз и на Съвета.</w:t>
      </w: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bCs/>
          <w:lang w:val="bg-BG"/>
        </w:rPr>
      </w:pP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  <w:r w:rsidRPr="00354A0B">
        <w:rPr>
          <w:rFonts w:ascii="Verdana" w:hAnsi="Verdana"/>
          <w:b/>
          <w:bCs/>
          <w:lang w:val="bg-BG"/>
        </w:rPr>
        <w:t>II. Проверени инсталации:</w:t>
      </w: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</w:p>
    <w:p w:rsidR="00354A0B" w:rsidRPr="00354A0B" w:rsidRDefault="00354A0B" w:rsidP="00354A0B">
      <w:pPr>
        <w:jc w:val="both"/>
        <w:rPr>
          <w:rFonts w:ascii="Verdana" w:hAnsi="Verdana"/>
          <w:lang w:val="bg-BG"/>
        </w:rPr>
      </w:pPr>
      <w:r w:rsidRPr="00354A0B">
        <w:rPr>
          <w:rFonts w:ascii="Verdana" w:hAnsi="Verdana"/>
          <w:bCs/>
          <w:lang w:val="bg-BG"/>
        </w:rPr>
        <w:t xml:space="preserve">Дейността на територията на обекта е свързана с производство на машини и оборудване за тютюневата промишленост. </w:t>
      </w:r>
      <w:r w:rsidRPr="00354A0B">
        <w:rPr>
          <w:rFonts w:ascii="Verdana" w:hAnsi="Verdana"/>
          <w:lang w:val="bg-BG"/>
        </w:rPr>
        <w:t>При проверката са проверени:</w:t>
      </w:r>
    </w:p>
    <w:p w:rsidR="00354A0B" w:rsidRPr="00354A0B" w:rsidRDefault="00354A0B" w:rsidP="00354A0B">
      <w:pPr>
        <w:numPr>
          <w:ilvl w:val="0"/>
          <w:numId w:val="4"/>
        </w:numPr>
        <w:jc w:val="both"/>
        <w:rPr>
          <w:rFonts w:ascii="Verdana" w:hAnsi="Verdana"/>
          <w:lang w:val="bg-BG"/>
        </w:rPr>
      </w:pPr>
      <w:r w:rsidRPr="00354A0B">
        <w:rPr>
          <w:rFonts w:ascii="Verdana" w:hAnsi="Verdana"/>
          <w:lang w:val="bg-BG"/>
        </w:rPr>
        <w:t xml:space="preserve">Зона инженеринг </w:t>
      </w:r>
    </w:p>
    <w:p w:rsidR="00354A0B" w:rsidRPr="00354A0B" w:rsidRDefault="00354A0B" w:rsidP="00354A0B">
      <w:pPr>
        <w:numPr>
          <w:ilvl w:val="0"/>
          <w:numId w:val="4"/>
        </w:numPr>
        <w:jc w:val="both"/>
        <w:rPr>
          <w:rFonts w:ascii="Verdana" w:hAnsi="Verdana"/>
          <w:lang w:val="bg-BG"/>
        </w:rPr>
      </w:pPr>
      <w:r w:rsidRPr="00354A0B">
        <w:rPr>
          <w:rFonts w:ascii="Verdana" w:hAnsi="Verdana"/>
          <w:lang w:val="bg-BG"/>
        </w:rPr>
        <w:t xml:space="preserve">Зона монтаж машини </w:t>
      </w:r>
    </w:p>
    <w:p w:rsidR="00354A0B" w:rsidRPr="00354A0B" w:rsidRDefault="00354A0B" w:rsidP="00354A0B">
      <w:pPr>
        <w:numPr>
          <w:ilvl w:val="0"/>
          <w:numId w:val="4"/>
        </w:numPr>
        <w:jc w:val="both"/>
        <w:rPr>
          <w:rFonts w:ascii="Verdana" w:hAnsi="Verdana"/>
          <w:lang w:val="bg-BG"/>
        </w:rPr>
      </w:pPr>
      <w:r w:rsidRPr="00354A0B">
        <w:rPr>
          <w:rFonts w:ascii="Verdana" w:hAnsi="Verdana"/>
          <w:lang w:val="bg-BG"/>
        </w:rPr>
        <w:t xml:space="preserve">Зона производство на машини </w:t>
      </w:r>
    </w:p>
    <w:p w:rsidR="00354A0B" w:rsidRPr="00354A0B" w:rsidRDefault="00354A0B" w:rsidP="00354A0B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  <w:r w:rsidRPr="00354A0B">
        <w:rPr>
          <w:rFonts w:ascii="Verdana" w:hAnsi="Verdana"/>
          <w:lang w:val="bg-BG"/>
        </w:rPr>
        <w:t>Зона за нанасяне на покрития</w:t>
      </w:r>
    </w:p>
    <w:p w:rsidR="00354A0B" w:rsidRPr="00354A0B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lang w:val="bg-BG"/>
        </w:rPr>
      </w:pPr>
    </w:p>
    <w:p w:rsidR="00354A0B" w:rsidRPr="00354A0B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Cs/>
          <w:color w:val="121314"/>
          <w:lang w:val="bg-BG"/>
        </w:rPr>
      </w:pPr>
      <w:r w:rsidRPr="00354A0B">
        <w:rPr>
          <w:rFonts w:ascii="Verdana" w:hAnsi="Verdana"/>
          <w:b/>
          <w:bCs/>
          <w:lang w:val="bg-BG"/>
        </w:rPr>
        <w:t>III. Констатации от проверката по компоненти и фактори:</w:t>
      </w:r>
      <w:r w:rsidRPr="00354A0B">
        <w:rPr>
          <w:rFonts w:ascii="Verdana" w:hAnsi="Verdana"/>
          <w:bCs/>
          <w:color w:val="121314"/>
          <w:lang w:val="bg-BG"/>
        </w:rPr>
        <w:t xml:space="preserve"> </w:t>
      </w:r>
    </w:p>
    <w:p w:rsidR="00354A0B" w:rsidRPr="00354A0B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Cs/>
          <w:color w:val="121314"/>
          <w:lang w:val="bg-BG"/>
        </w:rPr>
      </w:pPr>
    </w:p>
    <w:p w:rsidR="00354A0B" w:rsidRPr="00354A0B" w:rsidRDefault="00354A0B" w:rsidP="00354A0B">
      <w:pPr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color w:val="121314"/>
          <w:lang w:val="bg-BG"/>
        </w:rPr>
      </w:pPr>
      <w:r w:rsidRPr="00354A0B">
        <w:rPr>
          <w:rFonts w:ascii="Verdana" w:hAnsi="Verdana"/>
          <w:b/>
          <w:bCs/>
          <w:color w:val="121314"/>
          <w:lang w:val="bg-BG"/>
        </w:rPr>
        <w:t>Компонент „Атмосферен въздух“</w:t>
      </w:r>
    </w:p>
    <w:p w:rsidR="00354A0B" w:rsidRPr="00354A0B" w:rsidRDefault="00354A0B" w:rsidP="00354A0B">
      <w:pPr>
        <w:ind w:firstLine="708"/>
        <w:jc w:val="both"/>
        <w:rPr>
          <w:rFonts w:ascii="Verdana" w:hAnsi="Verdana"/>
          <w:bCs/>
          <w:lang w:val="bg-BG"/>
        </w:rPr>
      </w:pPr>
      <w:r w:rsidRPr="00354A0B">
        <w:rPr>
          <w:rFonts w:ascii="Verdana" w:hAnsi="Verdana"/>
          <w:bCs/>
          <w:color w:val="121314"/>
          <w:lang w:val="bg-BG"/>
        </w:rPr>
        <w:tab/>
      </w:r>
      <w:r w:rsidRPr="00354A0B">
        <w:rPr>
          <w:rFonts w:ascii="Verdana" w:hAnsi="Verdana"/>
          <w:lang w:val="bg-BG"/>
        </w:rPr>
        <w:t xml:space="preserve">Основна дейност на дружеството е производство на </w:t>
      </w:r>
      <w:r w:rsidRPr="00354A0B">
        <w:rPr>
          <w:rFonts w:ascii="Verdana" w:hAnsi="Verdana"/>
          <w:bCs/>
          <w:lang w:val="bg-BG"/>
        </w:rPr>
        <w:t>машини и оборудване за тютюневата промишленост.</w:t>
      </w:r>
    </w:p>
    <w:p w:rsidR="00354A0B" w:rsidRPr="00354A0B" w:rsidRDefault="00354A0B" w:rsidP="00354A0B">
      <w:pPr>
        <w:jc w:val="both"/>
        <w:rPr>
          <w:rFonts w:ascii="Verdana" w:hAnsi="Verdana"/>
        </w:rPr>
      </w:pPr>
      <w:r w:rsidRPr="00354A0B">
        <w:rPr>
          <w:rFonts w:ascii="Verdana" w:hAnsi="Verdana"/>
          <w:lang w:val="bg-BG"/>
        </w:rPr>
        <w:t xml:space="preserve">За компоненти, необходими в процеса на производството на </w:t>
      </w:r>
      <w:r w:rsidRPr="00354A0B">
        <w:rPr>
          <w:rFonts w:ascii="Verdana" w:hAnsi="Verdana"/>
          <w:bCs/>
          <w:lang w:val="bg-BG"/>
        </w:rPr>
        <w:t>машини и оборудване за тютюневата промишленост</w:t>
      </w:r>
      <w:r w:rsidRPr="00354A0B">
        <w:rPr>
          <w:rFonts w:ascii="Verdana" w:hAnsi="Verdana"/>
          <w:lang w:val="bg-BG"/>
        </w:rPr>
        <w:t xml:space="preserve"> дружеството експлоатира инсталация регистрирана по реда на чл. 30л от Закона за чистотата на атмосферния въздух (</w:t>
      </w:r>
      <w:proofErr w:type="spellStart"/>
      <w:r w:rsidRPr="00354A0B">
        <w:rPr>
          <w:rFonts w:ascii="Verdana" w:hAnsi="Verdana"/>
          <w:lang w:val="bg-BG"/>
        </w:rPr>
        <w:t>обн</w:t>
      </w:r>
      <w:proofErr w:type="spellEnd"/>
      <w:r w:rsidRPr="00354A0B">
        <w:rPr>
          <w:rFonts w:ascii="Verdana" w:hAnsi="Verdana"/>
          <w:lang w:val="bg-BG"/>
        </w:rPr>
        <w:t xml:space="preserve">. ДВ бр. 45/1996 г. с </w:t>
      </w:r>
      <w:proofErr w:type="spellStart"/>
      <w:r w:rsidRPr="00354A0B">
        <w:rPr>
          <w:rFonts w:ascii="Verdana" w:hAnsi="Verdana"/>
          <w:lang w:val="bg-BG"/>
        </w:rPr>
        <w:t>посл</w:t>
      </w:r>
      <w:proofErr w:type="spellEnd"/>
      <w:r w:rsidRPr="00354A0B">
        <w:rPr>
          <w:rFonts w:ascii="Verdana" w:hAnsi="Verdana"/>
          <w:lang w:val="bg-BG"/>
        </w:rPr>
        <w:t xml:space="preserve">. изм. и доп.) (ЗЧАВ). Дружеството е изпълнило задължението си произтичащо от чл. 20, ал. 8 от </w:t>
      </w:r>
      <w:r w:rsidRPr="00354A0B">
        <w:rPr>
          <w:rFonts w:ascii="Verdana" w:hAnsi="Verdana"/>
          <w:i/>
          <w:lang w:val="bg-BG"/>
        </w:rPr>
        <w:t>Наредба №3/2007 г. за норми за допустими емисии на летливи органични съединения, изпускани в околната среда, главно в атмосферния въздух в резултат на употребата на разтворители в определени инсталации (</w:t>
      </w:r>
      <w:proofErr w:type="spellStart"/>
      <w:r w:rsidRPr="00354A0B">
        <w:rPr>
          <w:rFonts w:ascii="Verdana" w:hAnsi="Verdana"/>
          <w:i/>
          <w:lang w:val="bg-BG"/>
        </w:rPr>
        <w:t>обн</w:t>
      </w:r>
      <w:proofErr w:type="spellEnd"/>
      <w:r w:rsidRPr="00354A0B">
        <w:rPr>
          <w:rFonts w:ascii="Verdana" w:hAnsi="Verdana"/>
          <w:i/>
          <w:lang w:val="bg-BG"/>
        </w:rPr>
        <w:t xml:space="preserve">. ДВ бр. №96 от 2003 г. с </w:t>
      </w:r>
      <w:proofErr w:type="spellStart"/>
      <w:r w:rsidRPr="00354A0B">
        <w:rPr>
          <w:rFonts w:ascii="Verdana" w:hAnsi="Verdana"/>
          <w:i/>
          <w:lang w:val="bg-BG"/>
        </w:rPr>
        <w:t>посл</w:t>
      </w:r>
      <w:proofErr w:type="spellEnd"/>
      <w:r w:rsidRPr="00354A0B">
        <w:rPr>
          <w:rFonts w:ascii="Verdana" w:hAnsi="Verdana"/>
          <w:i/>
          <w:lang w:val="bg-BG"/>
        </w:rPr>
        <w:t>. изм. и доп.)</w:t>
      </w:r>
      <w:r w:rsidRPr="00354A0B">
        <w:rPr>
          <w:rFonts w:ascii="Verdana" w:hAnsi="Verdana"/>
          <w:lang w:val="bg-BG"/>
        </w:rPr>
        <w:t>, а именно в срока до 31.03. на текущата календарна година в РИОСВ-Пловдив е представена Декларация с количеството вложени разтворители в чист вид и в състава на смеси за календарната 2025 г.</w:t>
      </w:r>
    </w:p>
    <w:p w:rsidR="00354A0B" w:rsidRPr="00354A0B" w:rsidRDefault="00354A0B" w:rsidP="00354A0B">
      <w:pPr>
        <w:jc w:val="both"/>
        <w:rPr>
          <w:rFonts w:ascii="Verdana" w:hAnsi="Verdana"/>
          <w:lang w:val="bg-BG"/>
        </w:rPr>
      </w:pPr>
      <w:r w:rsidRPr="00354A0B">
        <w:rPr>
          <w:rFonts w:ascii="Verdana" w:hAnsi="Verdana"/>
          <w:bCs/>
          <w:lang w:val="bg-BG"/>
        </w:rPr>
        <w:tab/>
      </w:r>
      <w:r w:rsidRPr="00354A0B">
        <w:rPr>
          <w:rFonts w:ascii="Verdana" w:hAnsi="Verdana"/>
          <w:lang w:val="bg-BG"/>
        </w:rPr>
        <w:t>За климатизация на работни помещения и административна част на територията на дружеството се експлоатират климатични системи. За системите се представиха досиета, които се водят редовно и съдържат записи от извършени проверки за течове от сертифицирани лица. За системите е представен отчет в ИС ФПГ за 2025 г. Същите са етикетирани.</w:t>
      </w:r>
    </w:p>
    <w:p w:rsidR="00354A0B" w:rsidRPr="00354A0B" w:rsidRDefault="00354A0B" w:rsidP="00354A0B">
      <w:pPr>
        <w:jc w:val="both"/>
        <w:rPr>
          <w:rFonts w:ascii="Verdana" w:hAnsi="Verdana"/>
          <w:lang w:val="bg-BG"/>
        </w:rPr>
      </w:pPr>
      <w:r w:rsidRPr="00354A0B">
        <w:rPr>
          <w:rFonts w:ascii="Verdana" w:hAnsi="Verdana"/>
          <w:lang w:val="bg-BG"/>
        </w:rPr>
        <w:tab/>
        <w:t xml:space="preserve">На територията на обекта се експлоатират два </w:t>
      </w:r>
      <w:proofErr w:type="spellStart"/>
      <w:r w:rsidRPr="00354A0B">
        <w:rPr>
          <w:rFonts w:ascii="Verdana" w:hAnsi="Verdana"/>
          <w:lang w:val="bg-BG"/>
        </w:rPr>
        <w:t>водогрейни</w:t>
      </w:r>
      <w:proofErr w:type="spellEnd"/>
      <w:r w:rsidRPr="00354A0B">
        <w:rPr>
          <w:rFonts w:ascii="Verdana" w:hAnsi="Verdana"/>
          <w:lang w:val="bg-BG"/>
        </w:rPr>
        <w:t xml:space="preserve"> котела, които са с мощност под 500 </w:t>
      </w:r>
      <w:r w:rsidRPr="00354A0B">
        <w:rPr>
          <w:rFonts w:ascii="Verdana" w:hAnsi="Verdana"/>
        </w:rPr>
        <w:t>kW</w:t>
      </w:r>
      <w:r w:rsidRPr="00354A0B">
        <w:rPr>
          <w:rFonts w:ascii="Verdana" w:hAnsi="Verdana"/>
          <w:lang w:val="bg-BG"/>
        </w:rPr>
        <w:t xml:space="preserve"> всеки.</w:t>
      </w:r>
    </w:p>
    <w:p w:rsidR="00354A0B" w:rsidRPr="00354A0B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Cs/>
          <w:lang w:val="bg-BG"/>
        </w:rPr>
      </w:pPr>
    </w:p>
    <w:p w:rsidR="00354A0B" w:rsidRPr="00354A0B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color w:val="121314"/>
          <w:lang w:val="bg-BG"/>
        </w:rPr>
      </w:pPr>
    </w:p>
    <w:p w:rsidR="00354A0B" w:rsidRPr="00354A0B" w:rsidRDefault="00354A0B" w:rsidP="00354A0B">
      <w:pPr>
        <w:numPr>
          <w:ilvl w:val="0"/>
          <w:numId w:val="3"/>
        </w:numPr>
        <w:jc w:val="both"/>
        <w:textAlignment w:val="auto"/>
        <w:rPr>
          <w:rFonts w:ascii="Verdana" w:hAnsi="Verdana"/>
          <w:b/>
          <w:lang w:val="bg-BG"/>
        </w:rPr>
      </w:pPr>
      <w:r w:rsidRPr="00354A0B">
        <w:rPr>
          <w:rFonts w:ascii="Verdana" w:hAnsi="Verdana"/>
          <w:b/>
          <w:bCs/>
          <w:lang w:val="bg-BG"/>
        </w:rPr>
        <w:t xml:space="preserve">Компонент </w:t>
      </w:r>
      <w:r w:rsidRPr="00354A0B">
        <w:rPr>
          <w:rFonts w:ascii="Verdana" w:hAnsi="Verdana"/>
          <w:b/>
          <w:lang w:val="bg-BG"/>
        </w:rPr>
        <w:t>„Опасни химични вещества и смеси и управление на риска“:</w:t>
      </w:r>
    </w:p>
    <w:p w:rsidR="00354A0B" w:rsidRPr="00354A0B" w:rsidRDefault="00354A0B" w:rsidP="00354A0B">
      <w:pPr>
        <w:ind w:firstLine="708"/>
        <w:jc w:val="both"/>
        <w:rPr>
          <w:rFonts w:ascii="Verdana" w:hAnsi="Verdana"/>
          <w:lang w:val="bg-BG"/>
        </w:rPr>
      </w:pPr>
      <w:r w:rsidRPr="00354A0B">
        <w:rPr>
          <w:rStyle w:val="ab"/>
          <w:rFonts w:ascii="Verdana" w:hAnsi="Verdana"/>
          <w:b w:val="0"/>
          <w:color w:val="121314"/>
          <w:lang w:val="bg-BG"/>
        </w:rPr>
        <w:tab/>
      </w:r>
      <w:r w:rsidRPr="00354A0B">
        <w:rPr>
          <w:rFonts w:ascii="Verdana" w:hAnsi="Verdana"/>
          <w:lang w:val="bg-BG"/>
        </w:rPr>
        <w:t xml:space="preserve">За извършване на основната си дейност, дружеството използва химични вещества и смеси. Опасните химични вещества и смеси са в много малки количества. Представени са – заповед за отговорно лице, съгласно чл.4, т.7 от Наредбата за реда и начина на съхранение на опасни химични вещества и смеси, инструкции на работа и съхранение на ОХВС, оценка за безопасността на съхранение на ОХВС. ИЛБ са предоставени от доставчици и изготвени, съгласно Регламент ЕС 1907/2026 </w:t>
      </w:r>
      <w:r w:rsidRPr="00354A0B">
        <w:rPr>
          <w:rFonts w:ascii="Verdana" w:hAnsi="Verdana"/>
        </w:rPr>
        <w:t>REACH</w:t>
      </w:r>
      <w:r w:rsidRPr="00354A0B">
        <w:rPr>
          <w:rFonts w:ascii="Verdana" w:hAnsi="Verdana"/>
          <w:lang w:val="bg-BG"/>
        </w:rPr>
        <w:t>.</w:t>
      </w:r>
    </w:p>
    <w:p w:rsidR="00354A0B" w:rsidRPr="00354A0B" w:rsidRDefault="00354A0B" w:rsidP="00354A0B">
      <w:pPr>
        <w:jc w:val="both"/>
        <w:rPr>
          <w:rFonts w:ascii="Verdana" w:hAnsi="Verdana"/>
          <w:lang w:val="bg-BG"/>
        </w:rPr>
      </w:pPr>
      <w:r w:rsidRPr="00354A0B">
        <w:rPr>
          <w:rFonts w:ascii="Verdana" w:hAnsi="Verdana"/>
          <w:lang w:val="bg-BG"/>
        </w:rPr>
        <w:tab/>
        <w:t xml:space="preserve">Дружеството се явява „Потребител надолу по веригата“ по смисъла на Регламент </w:t>
      </w:r>
      <w:r w:rsidRPr="00354A0B">
        <w:rPr>
          <w:rFonts w:ascii="Verdana" w:hAnsi="Verdana"/>
        </w:rPr>
        <w:t>REACH</w:t>
      </w:r>
      <w:r w:rsidRPr="00354A0B">
        <w:rPr>
          <w:rFonts w:ascii="Verdana" w:hAnsi="Verdana"/>
          <w:lang w:val="bg-BG"/>
        </w:rPr>
        <w:t>.</w:t>
      </w: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lang w:val="bg-BG"/>
        </w:rPr>
      </w:pP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b/>
          <w:bCs/>
          <w:iCs/>
          <w:color w:val="121314"/>
          <w:lang w:val="bg-BG"/>
        </w:rPr>
      </w:pPr>
      <w:r w:rsidRPr="00354A0B">
        <w:rPr>
          <w:rFonts w:ascii="Verdana" w:hAnsi="Verdana"/>
          <w:b/>
          <w:bCs/>
          <w:iCs/>
          <w:color w:val="121314"/>
          <w:lang w:val="bg-BG"/>
        </w:rPr>
        <w:t xml:space="preserve">IV. Предписания, срокове за изпълнение, отговорници: </w:t>
      </w: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bCs/>
          <w:iCs/>
          <w:color w:val="121314"/>
          <w:lang w:val="bg-BG"/>
        </w:rPr>
      </w:pPr>
      <w:r w:rsidRPr="00354A0B">
        <w:rPr>
          <w:rFonts w:ascii="Verdana" w:hAnsi="Verdana"/>
          <w:bCs/>
          <w:iCs/>
          <w:color w:val="121314"/>
          <w:lang w:val="bg-BG"/>
        </w:rPr>
        <w:t>При извършената проверка не са дадени  предписания.</w:t>
      </w: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bCs/>
          <w:i/>
          <w:iCs/>
          <w:color w:val="121314"/>
          <w:lang w:val="bg-BG"/>
        </w:rPr>
      </w:pP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b/>
          <w:bCs/>
          <w:iCs/>
          <w:color w:val="121314"/>
          <w:lang w:val="bg-BG"/>
        </w:rPr>
      </w:pPr>
      <w:r w:rsidRPr="00354A0B">
        <w:rPr>
          <w:rFonts w:ascii="Verdana" w:hAnsi="Verdana"/>
          <w:b/>
          <w:bCs/>
          <w:iCs/>
          <w:color w:val="121314"/>
          <w:lang w:val="bg-BG"/>
        </w:rPr>
        <w:t xml:space="preserve">V. Съответствие, последващ контрол: </w:t>
      </w: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bCs/>
          <w:i/>
          <w:iCs/>
          <w:color w:val="121314"/>
          <w:lang w:val="bg-BG"/>
        </w:rPr>
      </w:pPr>
      <w:r w:rsidRPr="00354A0B">
        <w:rPr>
          <w:rFonts w:ascii="Verdana" w:hAnsi="Verdana"/>
          <w:bCs/>
          <w:iCs/>
          <w:color w:val="121314"/>
          <w:lang w:val="bg-BG"/>
        </w:rPr>
        <w:t>При извършената проверка не са установени нарушения</w:t>
      </w:r>
      <w:r w:rsidRPr="00354A0B">
        <w:rPr>
          <w:rFonts w:ascii="Verdana" w:hAnsi="Verdana"/>
          <w:lang w:val="bg-BG"/>
        </w:rPr>
        <w:t xml:space="preserve"> на екологичното законодателство по проверяваните компоненти и фактори на въздействие. </w:t>
      </w: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i/>
          <w:lang w:val="bg-BG"/>
        </w:rPr>
      </w:pPr>
      <w:r w:rsidRPr="00354A0B">
        <w:rPr>
          <w:rFonts w:ascii="Verdana" w:hAnsi="Verdana"/>
          <w:lang w:val="bg-BG"/>
        </w:rPr>
        <w:t xml:space="preserve"> </w:t>
      </w: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lang w:val="bg-BG"/>
        </w:rPr>
      </w:pPr>
      <w:r w:rsidRPr="00354A0B">
        <w:rPr>
          <w:rFonts w:ascii="Verdana" w:hAnsi="Verdana"/>
          <w:lang w:val="bg-BG"/>
        </w:rPr>
        <w:t>От страна на дружеството при проверката присъства производственият управител</w:t>
      </w:r>
    </w:p>
    <w:p w:rsidR="00354A0B" w:rsidRPr="00354A0B" w:rsidRDefault="00354A0B" w:rsidP="00354A0B">
      <w:pPr>
        <w:spacing w:line="276" w:lineRule="auto"/>
        <w:jc w:val="both"/>
        <w:rPr>
          <w:rFonts w:ascii="Verdana" w:hAnsi="Verdana"/>
          <w:lang w:val="bg-BG"/>
        </w:rPr>
      </w:pPr>
    </w:p>
    <w:p w:rsidR="00354A0B" w:rsidRPr="00354A0B" w:rsidRDefault="00354A0B" w:rsidP="00354A0B">
      <w:pPr>
        <w:spacing w:line="276" w:lineRule="auto"/>
        <w:ind w:firstLine="426"/>
        <w:jc w:val="both"/>
        <w:rPr>
          <w:rFonts w:ascii="Verdana" w:hAnsi="Verdana"/>
          <w:lang w:val="bg-BG"/>
        </w:rPr>
      </w:pPr>
    </w:p>
    <w:p w:rsidR="00254D0B" w:rsidRPr="008338D4" w:rsidRDefault="00254D0B" w:rsidP="00354A0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254D0B" w:rsidRPr="008338D4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354A0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354A0B">
      <w:rPr>
        <w:rFonts w:ascii="Helen Bg Condensed" w:hAnsi="Helen Bg Condensed"/>
        <w:spacing w:val="40"/>
        <w:sz w:val="30"/>
        <w:szCs w:val="30"/>
      </w:rPr>
      <w:t xml:space="preserve">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354A0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4B28"/>
    <w:multiLevelType w:val="hybridMultilevel"/>
    <w:tmpl w:val="B6C89F8C"/>
    <w:lvl w:ilvl="0" w:tplc="E056F962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2B1C138B"/>
    <w:multiLevelType w:val="hybridMultilevel"/>
    <w:tmpl w:val="295ACBFC"/>
    <w:lvl w:ilvl="0" w:tplc="C318E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B3"/>
    <w:rsid w:val="0000306F"/>
    <w:rsid w:val="000415D7"/>
    <w:rsid w:val="00043B6D"/>
    <w:rsid w:val="00066AA2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6B4"/>
    <w:rsid w:val="001F3635"/>
    <w:rsid w:val="0020653E"/>
    <w:rsid w:val="00233451"/>
    <w:rsid w:val="0024120B"/>
    <w:rsid w:val="002501B0"/>
    <w:rsid w:val="00254D0B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54A0B"/>
    <w:rsid w:val="003A08E0"/>
    <w:rsid w:val="003B6BFE"/>
    <w:rsid w:val="003D295E"/>
    <w:rsid w:val="00421337"/>
    <w:rsid w:val="00442A73"/>
    <w:rsid w:val="00446795"/>
    <w:rsid w:val="00462ED5"/>
    <w:rsid w:val="004802A4"/>
    <w:rsid w:val="004B7D22"/>
    <w:rsid w:val="004C3144"/>
    <w:rsid w:val="004F765C"/>
    <w:rsid w:val="00516DAD"/>
    <w:rsid w:val="00545E5B"/>
    <w:rsid w:val="0057056E"/>
    <w:rsid w:val="00582663"/>
    <w:rsid w:val="0059375A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A421B"/>
    <w:rsid w:val="006A6565"/>
    <w:rsid w:val="006B0B9A"/>
    <w:rsid w:val="006C6326"/>
    <w:rsid w:val="006D21A3"/>
    <w:rsid w:val="006E1608"/>
    <w:rsid w:val="00714D69"/>
    <w:rsid w:val="0072407F"/>
    <w:rsid w:val="00735898"/>
    <w:rsid w:val="007719EF"/>
    <w:rsid w:val="00772848"/>
    <w:rsid w:val="00776E91"/>
    <w:rsid w:val="007A07E7"/>
    <w:rsid w:val="007A6290"/>
    <w:rsid w:val="007A7B40"/>
    <w:rsid w:val="007B6DFE"/>
    <w:rsid w:val="007D0F7F"/>
    <w:rsid w:val="008338D4"/>
    <w:rsid w:val="00842F0C"/>
    <w:rsid w:val="0085348A"/>
    <w:rsid w:val="00860390"/>
    <w:rsid w:val="0088526F"/>
    <w:rsid w:val="0089514A"/>
    <w:rsid w:val="00896594"/>
    <w:rsid w:val="008A0444"/>
    <w:rsid w:val="008A3D46"/>
    <w:rsid w:val="008B0206"/>
    <w:rsid w:val="008B1300"/>
    <w:rsid w:val="008D3875"/>
    <w:rsid w:val="008D749E"/>
    <w:rsid w:val="00903E8B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A67C8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D0F0E"/>
    <w:rsid w:val="00AD11C4"/>
    <w:rsid w:val="00AD13E8"/>
    <w:rsid w:val="00B0052C"/>
    <w:rsid w:val="00B06A2A"/>
    <w:rsid w:val="00B11347"/>
    <w:rsid w:val="00B17E9C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1219F"/>
    <w:rsid w:val="00D259F5"/>
    <w:rsid w:val="00D450FA"/>
    <w:rsid w:val="00D530CC"/>
    <w:rsid w:val="00D61AE4"/>
    <w:rsid w:val="00D63107"/>
    <w:rsid w:val="00D7472F"/>
    <w:rsid w:val="00D93AB6"/>
    <w:rsid w:val="00D95489"/>
    <w:rsid w:val="00DC60E0"/>
    <w:rsid w:val="00DE1749"/>
    <w:rsid w:val="00DF43B6"/>
    <w:rsid w:val="00E344E2"/>
    <w:rsid w:val="00E8208C"/>
    <w:rsid w:val="00EA3B1F"/>
    <w:rsid w:val="00EB0DBD"/>
    <w:rsid w:val="00EB1B62"/>
    <w:rsid w:val="00EB63EB"/>
    <w:rsid w:val="00EC304D"/>
    <w:rsid w:val="00ED1377"/>
    <w:rsid w:val="00F13964"/>
    <w:rsid w:val="00F54142"/>
    <w:rsid w:val="00F66C88"/>
    <w:rsid w:val="00F72CF1"/>
    <w:rsid w:val="00F74415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3BE5CB1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6C632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D3875"/>
    <w:pPr>
      <w:ind w:left="720"/>
      <w:contextualSpacing/>
    </w:pPr>
  </w:style>
  <w:style w:type="paragraph" w:customStyle="1" w:styleId="1CharChar">
    <w:name w:val=" Знак Знак1 Char Char"/>
    <w:basedOn w:val="a"/>
    <w:rsid w:val="00354A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519</Words>
  <Characters>2988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Lazarinka Petrishka</cp:lastModifiedBy>
  <cp:revision>12</cp:revision>
  <cp:lastPrinted>2022-02-01T14:09:00Z</cp:lastPrinted>
  <dcterms:created xsi:type="dcterms:W3CDTF">2026-03-11T13:08:00Z</dcterms:created>
  <dcterms:modified xsi:type="dcterms:W3CDTF">2026-03-31T06:35:00Z</dcterms:modified>
</cp:coreProperties>
</file>